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FF136" w14:textId="4945D2FA" w:rsidR="002B09DE" w:rsidRPr="00191618" w:rsidRDefault="002B09DE" w:rsidP="002B09DE">
      <w:pPr>
        <w:pStyle w:val="Heading1"/>
        <w:spacing w:after="120"/>
        <w:rPr>
          <w:rFonts w:asciiTheme="majorHAnsi" w:hAnsiTheme="majorHAnsi" w:cstheme="majorHAnsi"/>
        </w:rPr>
      </w:pPr>
      <w:r>
        <w:rPr>
          <w:i/>
        </w:rPr>
        <w:tab/>
      </w:r>
      <w:r>
        <w:rPr>
          <w:i/>
        </w:rPr>
        <w:tab/>
      </w:r>
      <w:r>
        <w:rPr>
          <w:i/>
        </w:rPr>
        <w:tab/>
      </w:r>
    </w:p>
    <w:p w14:paraId="3D055CE4" w14:textId="77777777" w:rsidR="00832B50" w:rsidRPr="00653C76" w:rsidRDefault="00832B50" w:rsidP="00D15F5E">
      <w:pPr>
        <w:pStyle w:val="Abstract"/>
        <w:spacing w:before="0" w:after="0" w:line="240" w:lineRule="auto"/>
        <w:ind w:left="0"/>
        <w:rPr>
          <w:rFonts w:cs="Times New Roman"/>
          <w:i w:val="0"/>
        </w:rPr>
      </w:pPr>
    </w:p>
    <w:p w14:paraId="11C95A1E" w14:textId="77777777" w:rsidR="0053262B" w:rsidRPr="00653C76" w:rsidRDefault="0053262B" w:rsidP="002B09DE">
      <w:pPr>
        <w:pStyle w:val="Abstract"/>
        <w:spacing w:before="0" w:after="0" w:line="240" w:lineRule="auto"/>
        <w:ind w:left="0"/>
        <w:rPr>
          <w:rFonts w:cs="Times New Roman"/>
          <w:i w:val="0"/>
          <w:sz w:val="26"/>
          <w:szCs w:val="26"/>
        </w:rPr>
      </w:pPr>
    </w:p>
    <w:p w14:paraId="7492E8B8" w14:textId="094EA8EB" w:rsidR="00832B50" w:rsidRPr="00007514" w:rsidRDefault="00470205" w:rsidP="00D15F5E">
      <w:pPr>
        <w:pStyle w:val="Abstract"/>
        <w:spacing w:before="0" w:after="0" w:line="240" w:lineRule="auto"/>
        <w:jc w:val="center"/>
        <w:rPr>
          <w:rFonts w:asciiTheme="majorHAnsi" w:hAnsiTheme="majorHAnsi" w:cstheme="majorHAnsi"/>
          <w:b/>
          <w:i w:val="0"/>
          <w:smallCaps/>
          <w:color w:val="auto"/>
          <w:sz w:val="48"/>
          <w:szCs w:val="48"/>
        </w:rPr>
      </w:pPr>
      <w:r>
        <w:rPr>
          <w:rFonts w:asciiTheme="majorHAnsi" w:hAnsiTheme="majorHAnsi" w:cstheme="majorHAnsi"/>
          <w:b/>
          <w:i w:val="0"/>
          <w:smallCaps/>
          <w:color w:val="auto"/>
          <w:sz w:val="48"/>
          <w:szCs w:val="48"/>
        </w:rPr>
        <w:t>TFP Management, LLC</w:t>
      </w:r>
    </w:p>
    <w:p w14:paraId="42F6C10C" w14:textId="02F80771" w:rsidR="00007514" w:rsidRPr="00470205" w:rsidRDefault="00007514" w:rsidP="00D15F5E">
      <w:pPr>
        <w:pStyle w:val="Abstract"/>
        <w:spacing w:before="0" w:after="0" w:line="240" w:lineRule="auto"/>
        <w:jc w:val="center"/>
        <w:rPr>
          <w:rFonts w:asciiTheme="majorHAnsi" w:hAnsiTheme="majorHAnsi" w:cstheme="majorHAnsi"/>
          <w:b/>
          <w:i w:val="0"/>
          <w:smallCaps/>
          <w:color w:val="auto"/>
          <w:szCs w:val="28"/>
        </w:rPr>
      </w:pPr>
    </w:p>
    <w:p w14:paraId="00421DB9" w14:textId="77777777" w:rsidR="00470205" w:rsidRPr="00191618" w:rsidRDefault="00470205" w:rsidP="00D15F5E">
      <w:pPr>
        <w:pStyle w:val="Abstract"/>
        <w:spacing w:before="0" w:after="0" w:line="240" w:lineRule="auto"/>
        <w:jc w:val="center"/>
        <w:rPr>
          <w:rFonts w:asciiTheme="majorHAnsi" w:hAnsiTheme="majorHAnsi" w:cstheme="majorHAnsi"/>
          <w:b/>
          <w:i w:val="0"/>
          <w:smallCaps/>
          <w:color w:val="auto"/>
          <w:sz w:val="40"/>
          <w:szCs w:val="28"/>
        </w:rPr>
      </w:pPr>
    </w:p>
    <w:p w14:paraId="59E0DD3C" w14:textId="5A2EB131" w:rsidR="008E40B1" w:rsidRPr="00470205" w:rsidRDefault="00470205" w:rsidP="00D15F5E">
      <w:pPr>
        <w:pStyle w:val="Abstract"/>
        <w:spacing w:before="0" w:after="0" w:line="240" w:lineRule="auto"/>
        <w:jc w:val="center"/>
        <w:rPr>
          <w:rFonts w:cstheme="minorHAnsi"/>
          <w:i w:val="0"/>
          <w:smallCaps/>
          <w:color w:val="auto"/>
          <w:sz w:val="32"/>
          <w:szCs w:val="32"/>
        </w:rPr>
      </w:pPr>
      <w:bookmarkStart w:id="0" w:name="_Hlk489869579"/>
      <w:r w:rsidRPr="00470205">
        <w:rPr>
          <w:rFonts w:cstheme="minorHAnsi"/>
          <w:i w:val="0"/>
          <w:smallCaps/>
          <w:color w:val="auto"/>
          <w:sz w:val="32"/>
          <w:szCs w:val="32"/>
        </w:rPr>
        <w:t>3475 Utica Ridge Rd.</w:t>
      </w:r>
    </w:p>
    <w:p w14:paraId="4C509D5C" w14:textId="4165FC50" w:rsidR="00470205" w:rsidRPr="00470205" w:rsidRDefault="00470205" w:rsidP="00D15F5E">
      <w:pPr>
        <w:pStyle w:val="Abstract"/>
        <w:spacing w:before="0" w:after="0" w:line="240" w:lineRule="auto"/>
        <w:jc w:val="center"/>
        <w:rPr>
          <w:rFonts w:cstheme="minorHAnsi"/>
          <w:i w:val="0"/>
          <w:smallCaps/>
          <w:color w:val="auto"/>
          <w:sz w:val="32"/>
          <w:szCs w:val="32"/>
        </w:rPr>
      </w:pPr>
      <w:r w:rsidRPr="00470205">
        <w:rPr>
          <w:rFonts w:cstheme="minorHAnsi"/>
          <w:i w:val="0"/>
          <w:smallCaps/>
          <w:color w:val="auto"/>
          <w:sz w:val="32"/>
          <w:szCs w:val="32"/>
        </w:rPr>
        <w:t>Bettendorf, IA 52722</w:t>
      </w:r>
    </w:p>
    <w:p w14:paraId="008D586A" w14:textId="77777777" w:rsidR="00470205" w:rsidRPr="00470205" w:rsidRDefault="00470205" w:rsidP="00D15F5E">
      <w:pPr>
        <w:pStyle w:val="Abstract"/>
        <w:spacing w:before="0" w:after="0" w:line="240" w:lineRule="auto"/>
        <w:jc w:val="center"/>
        <w:rPr>
          <w:rFonts w:cstheme="minorHAnsi"/>
          <w:i w:val="0"/>
          <w:smallCaps/>
          <w:color w:val="auto"/>
          <w:sz w:val="32"/>
          <w:szCs w:val="32"/>
        </w:rPr>
      </w:pPr>
    </w:p>
    <w:p w14:paraId="22942C7A" w14:textId="58DDD130" w:rsidR="00FA76BF" w:rsidRPr="00470205" w:rsidRDefault="00470205" w:rsidP="00D15F5E">
      <w:pPr>
        <w:pStyle w:val="Abstract"/>
        <w:spacing w:before="0" w:after="0" w:line="240" w:lineRule="auto"/>
        <w:jc w:val="center"/>
        <w:rPr>
          <w:rFonts w:cstheme="minorHAnsi"/>
          <w:i w:val="0"/>
          <w:smallCaps/>
          <w:color w:val="auto"/>
          <w:szCs w:val="28"/>
        </w:rPr>
      </w:pPr>
      <w:r w:rsidRPr="00470205">
        <w:rPr>
          <w:rFonts w:cstheme="minorHAnsi"/>
          <w:iCs w:val="0"/>
          <w:smallCaps/>
          <w:color w:val="auto"/>
          <w:szCs w:val="28"/>
        </w:rPr>
        <w:t>Phone:</w:t>
      </w:r>
      <w:r w:rsidRPr="00470205">
        <w:rPr>
          <w:rFonts w:cstheme="minorHAnsi"/>
          <w:i w:val="0"/>
          <w:smallCaps/>
          <w:color w:val="auto"/>
          <w:szCs w:val="28"/>
        </w:rPr>
        <w:t xml:space="preserve"> </w:t>
      </w:r>
      <w:r w:rsidR="00191618" w:rsidRPr="00470205">
        <w:rPr>
          <w:rFonts w:cstheme="minorHAnsi"/>
          <w:i w:val="0"/>
          <w:smallCaps/>
          <w:color w:val="auto"/>
          <w:szCs w:val="28"/>
        </w:rPr>
        <w:t>(</w:t>
      </w:r>
      <w:r w:rsidRPr="00470205">
        <w:rPr>
          <w:rFonts w:cstheme="minorHAnsi"/>
          <w:i w:val="0"/>
          <w:smallCaps/>
          <w:color w:val="auto"/>
          <w:szCs w:val="28"/>
        </w:rPr>
        <w:t>563) 359-8783</w:t>
      </w:r>
    </w:p>
    <w:p w14:paraId="0A0445DC" w14:textId="39433A34" w:rsidR="00470205" w:rsidRPr="00470205" w:rsidRDefault="00470205" w:rsidP="00D15F5E">
      <w:pPr>
        <w:pStyle w:val="Abstract"/>
        <w:spacing w:before="0" w:after="0" w:line="240" w:lineRule="auto"/>
        <w:jc w:val="center"/>
        <w:rPr>
          <w:rFonts w:cstheme="minorHAnsi"/>
          <w:i w:val="0"/>
          <w:smallCaps/>
          <w:color w:val="auto"/>
          <w:sz w:val="32"/>
          <w:szCs w:val="32"/>
        </w:rPr>
      </w:pPr>
      <w:r w:rsidRPr="00470205">
        <w:rPr>
          <w:rFonts w:cstheme="minorHAnsi"/>
          <w:iCs w:val="0"/>
          <w:smallCaps/>
          <w:color w:val="auto"/>
          <w:szCs w:val="28"/>
        </w:rPr>
        <w:t>Fax:</w:t>
      </w:r>
      <w:r w:rsidRPr="00470205">
        <w:rPr>
          <w:rFonts w:cstheme="minorHAnsi"/>
          <w:i w:val="0"/>
          <w:smallCaps/>
          <w:color w:val="auto"/>
          <w:szCs w:val="28"/>
        </w:rPr>
        <w:t xml:space="preserve"> (563) 359-8784</w:t>
      </w:r>
    </w:p>
    <w:p w14:paraId="297B0A74" w14:textId="3C512EEF" w:rsidR="00007514" w:rsidRPr="00470205" w:rsidRDefault="00007514" w:rsidP="00D15F5E">
      <w:pPr>
        <w:pStyle w:val="Abstract"/>
        <w:spacing w:before="0" w:after="0" w:line="240" w:lineRule="auto"/>
        <w:jc w:val="center"/>
        <w:rPr>
          <w:rFonts w:cstheme="minorHAnsi"/>
          <w:i w:val="0"/>
          <w:smallCaps/>
          <w:color w:val="auto"/>
          <w:sz w:val="32"/>
          <w:szCs w:val="32"/>
        </w:rPr>
      </w:pPr>
    </w:p>
    <w:bookmarkEnd w:id="0"/>
    <w:p w14:paraId="704CDE94" w14:textId="77777777" w:rsidR="00B452E4" w:rsidRPr="00470205" w:rsidRDefault="00B452E4" w:rsidP="002B09DE">
      <w:pPr>
        <w:pStyle w:val="Abstract"/>
        <w:spacing w:before="0" w:after="0" w:line="240" w:lineRule="auto"/>
        <w:ind w:left="0"/>
        <w:rPr>
          <w:rFonts w:cstheme="minorHAnsi"/>
          <w:b/>
          <w:i w:val="0"/>
          <w:smallCaps/>
          <w:color w:val="auto"/>
        </w:rPr>
      </w:pPr>
    </w:p>
    <w:p w14:paraId="5003B6D2" w14:textId="77777777" w:rsidR="002B09DE" w:rsidRPr="00470205" w:rsidRDefault="002B09DE" w:rsidP="002B09DE">
      <w:pPr>
        <w:pStyle w:val="Abstract"/>
        <w:spacing w:before="0" w:after="0" w:line="240" w:lineRule="auto"/>
        <w:ind w:left="0"/>
        <w:rPr>
          <w:rFonts w:cstheme="minorHAnsi"/>
          <w:i w:val="0"/>
        </w:rPr>
      </w:pPr>
    </w:p>
    <w:p w14:paraId="39897539" w14:textId="77777777" w:rsidR="002B09DE" w:rsidRPr="00470205" w:rsidRDefault="002B09DE" w:rsidP="001977F9">
      <w:pPr>
        <w:pStyle w:val="Abstract"/>
        <w:spacing w:before="0" w:after="0" w:line="240" w:lineRule="auto"/>
        <w:ind w:left="0"/>
        <w:jc w:val="center"/>
        <w:rPr>
          <w:rFonts w:cstheme="minorHAnsi"/>
          <w:i w:val="0"/>
        </w:rPr>
      </w:pPr>
    </w:p>
    <w:p w14:paraId="6962EADD" w14:textId="77777777" w:rsidR="002B09DE" w:rsidRPr="00470205" w:rsidRDefault="002B09DE" w:rsidP="002B09DE">
      <w:pPr>
        <w:pStyle w:val="Abstract"/>
        <w:spacing w:before="0" w:after="0" w:line="240" w:lineRule="auto"/>
        <w:ind w:left="0"/>
        <w:rPr>
          <w:rFonts w:cstheme="minorHAnsi"/>
          <w:i w:val="0"/>
        </w:rPr>
      </w:pPr>
    </w:p>
    <w:p w14:paraId="12D9145A" w14:textId="77777777" w:rsidR="0053262B" w:rsidRPr="00470205" w:rsidRDefault="0053262B" w:rsidP="00D15F5E">
      <w:pPr>
        <w:pStyle w:val="Abstract"/>
        <w:spacing w:before="0" w:after="0" w:line="240" w:lineRule="auto"/>
        <w:jc w:val="center"/>
        <w:rPr>
          <w:rFonts w:cstheme="minorHAnsi"/>
          <w:i w:val="0"/>
          <w:color w:val="3967AB"/>
        </w:rPr>
      </w:pPr>
    </w:p>
    <w:p w14:paraId="2CEE8209" w14:textId="77777777" w:rsidR="00B452E4" w:rsidRPr="00470205" w:rsidRDefault="00B452E4" w:rsidP="00D15F5E">
      <w:pPr>
        <w:jc w:val="center"/>
        <w:rPr>
          <w:rFonts w:asciiTheme="minorHAnsi" w:hAnsiTheme="minorHAnsi" w:cstheme="minorHAnsi"/>
          <w:smallCaps/>
          <w:color w:val="3967AB"/>
          <w:sz w:val="35"/>
          <w:szCs w:val="35"/>
        </w:rPr>
      </w:pPr>
      <w:r w:rsidRPr="00470205">
        <w:rPr>
          <w:rFonts w:asciiTheme="minorHAnsi" w:hAnsiTheme="minorHAnsi" w:cstheme="minorHAnsi"/>
          <w:smallCaps/>
          <w:color w:val="3967AB"/>
          <w:sz w:val="35"/>
          <w:szCs w:val="35"/>
        </w:rPr>
        <w:t>Form ADV Part 2A</w:t>
      </w:r>
    </w:p>
    <w:p w14:paraId="54FF55BB" w14:textId="77777777" w:rsidR="00B452E4" w:rsidRPr="00470205" w:rsidRDefault="00B452E4" w:rsidP="00D15F5E">
      <w:pPr>
        <w:jc w:val="center"/>
        <w:rPr>
          <w:rFonts w:asciiTheme="minorHAnsi" w:hAnsiTheme="minorHAnsi" w:cstheme="minorHAnsi"/>
          <w:smallCaps/>
          <w:color w:val="3967AB"/>
          <w:sz w:val="35"/>
          <w:szCs w:val="35"/>
        </w:rPr>
      </w:pPr>
      <w:r w:rsidRPr="00470205">
        <w:rPr>
          <w:rFonts w:asciiTheme="minorHAnsi" w:hAnsiTheme="minorHAnsi" w:cstheme="minorHAnsi"/>
          <w:smallCaps/>
          <w:color w:val="3967AB"/>
          <w:sz w:val="35"/>
          <w:szCs w:val="35"/>
        </w:rPr>
        <w:t>Firm Brochure</w:t>
      </w:r>
    </w:p>
    <w:p w14:paraId="6288C531" w14:textId="1BC43F9E" w:rsidR="00B452E4" w:rsidRPr="00191618" w:rsidRDefault="00D636BA" w:rsidP="00D15F5E">
      <w:pPr>
        <w:jc w:val="center"/>
        <w:rPr>
          <w:rFonts w:asciiTheme="majorHAnsi" w:hAnsiTheme="majorHAnsi" w:cstheme="majorHAnsi"/>
          <w:b/>
          <w:smallCaps/>
          <w:color w:val="3967AB"/>
          <w:sz w:val="35"/>
          <w:szCs w:val="35"/>
        </w:rPr>
      </w:pPr>
      <w:r>
        <w:rPr>
          <w:rFonts w:asciiTheme="minorHAnsi" w:hAnsiTheme="minorHAnsi" w:cstheme="minorHAnsi"/>
          <w:smallCaps/>
          <w:color w:val="3967AB"/>
          <w:sz w:val="35"/>
          <w:szCs w:val="35"/>
        </w:rPr>
        <w:t>March 2</w:t>
      </w:r>
      <w:r w:rsidR="00381C59">
        <w:rPr>
          <w:rFonts w:asciiTheme="minorHAnsi" w:hAnsiTheme="minorHAnsi" w:cstheme="minorHAnsi"/>
          <w:smallCaps/>
          <w:color w:val="3967AB"/>
          <w:sz w:val="35"/>
          <w:szCs w:val="35"/>
        </w:rPr>
        <w:t>3</w:t>
      </w:r>
      <w:r>
        <w:rPr>
          <w:rFonts w:asciiTheme="minorHAnsi" w:hAnsiTheme="minorHAnsi" w:cstheme="minorHAnsi"/>
          <w:smallCaps/>
          <w:color w:val="3967AB"/>
          <w:sz w:val="35"/>
          <w:szCs w:val="35"/>
        </w:rPr>
        <w:t>, 202</w:t>
      </w:r>
      <w:r w:rsidR="00381C59">
        <w:rPr>
          <w:rFonts w:asciiTheme="minorHAnsi" w:hAnsiTheme="minorHAnsi" w:cstheme="minorHAnsi"/>
          <w:smallCaps/>
          <w:color w:val="3967AB"/>
          <w:sz w:val="35"/>
          <w:szCs w:val="35"/>
        </w:rPr>
        <w:t>6</w:t>
      </w:r>
    </w:p>
    <w:p w14:paraId="3401D5F9" w14:textId="77777777" w:rsidR="00832B50" w:rsidRPr="00653C76" w:rsidRDefault="00832B50" w:rsidP="00D15F5E">
      <w:pPr>
        <w:pStyle w:val="Abstract"/>
        <w:spacing w:before="0" w:after="0" w:line="240" w:lineRule="auto"/>
        <w:jc w:val="center"/>
        <w:rPr>
          <w:rFonts w:cs="Times New Roman"/>
          <w:i w:val="0"/>
        </w:rPr>
      </w:pPr>
    </w:p>
    <w:p w14:paraId="457A7DE2" w14:textId="77777777" w:rsidR="00B452E4" w:rsidRPr="00653C76" w:rsidRDefault="00B452E4" w:rsidP="00D15F5E">
      <w:pPr>
        <w:pStyle w:val="Abstract"/>
        <w:spacing w:before="0" w:after="0" w:line="240" w:lineRule="auto"/>
        <w:jc w:val="center"/>
        <w:rPr>
          <w:rFonts w:cs="Times New Roman"/>
          <w:i w:val="0"/>
        </w:rPr>
      </w:pPr>
    </w:p>
    <w:p w14:paraId="073C2B6F" w14:textId="77777777" w:rsidR="00240673" w:rsidRPr="00653C76" w:rsidRDefault="00240673" w:rsidP="00D15F5E">
      <w:pPr>
        <w:pStyle w:val="Abstract"/>
        <w:spacing w:before="0" w:after="0" w:line="240" w:lineRule="auto"/>
        <w:jc w:val="center"/>
        <w:rPr>
          <w:rFonts w:cs="Times New Roman"/>
          <w:i w:val="0"/>
        </w:rPr>
      </w:pPr>
    </w:p>
    <w:p w14:paraId="2A5AFD1E" w14:textId="77777777" w:rsidR="00240673" w:rsidRPr="00653C76" w:rsidRDefault="00240673" w:rsidP="00D15F5E">
      <w:pPr>
        <w:pStyle w:val="Abstract"/>
        <w:spacing w:before="0" w:after="0" w:line="240" w:lineRule="auto"/>
        <w:jc w:val="center"/>
        <w:rPr>
          <w:rFonts w:cs="Times New Roman"/>
          <w:i w:val="0"/>
        </w:rPr>
      </w:pPr>
    </w:p>
    <w:p w14:paraId="7FAD3FC9" w14:textId="25403BA7" w:rsidR="00FA76BF" w:rsidRDefault="00832B50" w:rsidP="00D15F5E">
      <w:pPr>
        <w:jc w:val="both"/>
        <w:rPr>
          <w:rFonts w:asciiTheme="minorHAnsi" w:hAnsiTheme="minorHAnsi"/>
          <w:sz w:val="24"/>
          <w:szCs w:val="24"/>
        </w:rPr>
      </w:pPr>
      <w:r w:rsidRPr="00653C76">
        <w:rPr>
          <w:rFonts w:asciiTheme="minorHAnsi" w:hAnsiTheme="minorHAnsi"/>
          <w:sz w:val="24"/>
          <w:szCs w:val="24"/>
        </w:rPr>
        <w:t xml:space="preserve">This brochure provides information about the qualifications and business practices of </w:t>
      </w:r>
      <w:r w:rsidR="00470205">
        <w:rPr>
          <w:rFonts w:asciiTheme="minorHAnsi" w:hAnsiTheme="minorHAnsi"/>
          <w:sz w:val="24"/>
          <w:szCs w:val="24"/>
        </w:rPr>
        <w:t>TFP Management</w:t>
      </w:r>
      <w:r w:rsidR="00191618">
        <w:rPr>
          <w:rFonts w:asciiTheme="minorHAnsi" w:hAnsiTheme="minorHAnsi"/>
          <w:sz w:val="24"/>
          <w:szCs w:val="24"/>
        </w:rPr>
        <w:t>, LLC</w:t>
      </w:r>
      <w:r w:rsidRPr="00653C76">
        <w:rPr>
          <w:rFonts w:asciiTheme="minorHAnsi" w:hAnsiTheme="minorHAnsi"/>
          <w:sz w:val="24"/>
          <w:szCs w:val="24"/>
        </w:rPr>
        <w:t>. If you have any question</w:t>
      </w:r>
      <w:r w:rsidR="00EF0493">
        <w:rPr>
          <w:rFonts w:asciiTheme="minorHAnsi" w:hAnsiTheme="minorHAnsi"/>
          <w:sz w:val="24"/>
          <w:szCs w:val="24"/>
        </w:rPr>
        <w:t>s</w:t>
      </w:r>
      <w:r w:rsidRPr="00653C76">
        <w:rPr>
          <w:rFonts w:asciiTheme="minorHAnsi" w:hAnsiTheme="minorHAnsi"/>
          <w:sz w:val="24"/>
          <w:szCs w:val="24"/>
        </w:rPr>
        <w:t xml:space="preserve"> about the contents of this brochure, please contact us </w:t>
      </w:r>
      <w:r w:rsidRPr="00C7351F">
        <w:rPr>
          <w:rFonts w:asciiTheme="minorHAnsi" w:hAnsiTheme="minorHAnsi"/>
          <w:sz w:val="24"/>
          <w:szCs w:val="24"/>
        </w:rPr>
        <w:t xml:space="preserve">at </w:t>
      </w:r>
      <w:r w:rsidR="00191618">
        <w:rPr>
          <w:rFonts w:asciiTheme="minorHAnsi" w:hAnsiTheme="minorHAnsi"/>
          <w:sz w:val="24"/>
          <w:szCs w:val="24"/>
        </w:rPr>
        <w:t>(</w:t>
      </w:r>
      <w:r w:rsidR="00470205">
        <w:rPr>
          <w:rFonts w:asciiTheme="minorHAnsi" w:hAnsiTheme="minorHAnsi"/>
          <w:sz w:val="24"/>
          <w:szCs w:val="24"/>
        </w:rPr>
        <w:t>5</w:t>
      </w:r>
      <w:r w:rsidR="00BA55F0">
        <w:rPr>
          <w:rFonts w:asciiTheme="minorHAnsi" w:hAnsiTheme="minorHAnsi"/>
          <w:sz w:val="24"/>
          <w:szCs w:val="24"/>
        </w:rPr>
        <w:t>63</w:t>
      </w:r>
      <w:r w:rsidR="00470205">
        <w:rPr>
          <w:rFonts w:asciiTheme="minorHAnsi" w:hAnsiTheme="minorHAnsi"/>
          <w:sz w:val="24"/>
          <w:szCs w:val="24"/>
        </w:rPr>
        <w:t>) 359-8783</w:t>
      </w:r>
      <w:r w:rsidR="006D16F0" w:rsidRPr="00653C76">
        <w:rPr>
          <w:rFonts w:asciiTheme="minorHAnsi" w:hAnsiTheme="minorHAnsi"/>
          <w:sz w:val="24"/>
          <w:szCs w:val="24"/>
        </w:rPr>
        <w:t>.</w:t>
      </w:r>
      <w:r w:rsidRPr="00653C76">
        <w:rPr>
          <w:rFonts w:asciiTheme="minorHAnsi" w:hAnsiTheme="minorHAnsi"/>
          <w:sz w:val="24"/>
          <w:szCs w:val="24"/>
        </w:rPr>
        <w:t xml:space="preserve">  The information in this brochure has not been approved or verified by the Unite</w:t>
      </w:r>
      <w:r w:rsidR="004870A8" w:rsidRPr="00653C76">
        <w:rPr>
          <w:rFonts w:asciiTheme="minorHAnsi" w:hAnsiTheme="minorHAnsi"/>
          <w:sz w:val="24"/>
          <w:szCs w:val="24"/>
        </w:rPr>
        <w:t>d</w:t>
      </w:r>
      <w:r w:rsidRPr="00653C76">
        <w:rPr>
          <w:rFonts w:asciiTheme="minorHAnsi" w:hAnsiTheme="minorHAnsi"/>
          <w:sz w:val="24"/>
          <w:szCs w:val="24"/>
        </w:rPr>
        <w:t xml:space="preserve"> States Securities and Exchange Commission or by any state securities authority.</w:t>
      </w:r>
      <w:r w:rsidR="00E7150D">
        <w:rPr>
          <w:rFonts w:asciiTheme="minorHAnsi" w:hAnsiTheme="minorHAnsi"/>
          <w:sz w:val="24"/>
          <w:szCs w:val="24"/>
        </w:rPr>
        <w:t xml:space="preserve"> </w:t>
      </w:r>
    </w:p>
    <w:p w14:paraId="347504B2" w14:textId="77777777" w:rsidR="00FA76BF" w:rsidRDefault="00FA76BF" w:rsidP="00D15F5E">
      <w:pPr>
        <w:jc w:val="both"/>
        <w:rPr>
          <w:rFonts w:asciiTheme="minorHAnsi" w:hAnsiTheme="minorHAnsi"/>
          <w:sz w:val="24"/>
          <w:szCs w:val="24"/>
        </w:rPr>
      </w:pPr>
    </w:p>
    <w:p w14:paraId="0841F21D" w14:textId="7B72CCB4" w:rsidR="00832B50" w:rsidRPr="00653C76" w:rsidRDefault="00470205" w:rsidP="00D15F5E">
      <w:pPr>
        <w:jc w:val="both"/>
        <w:rPr>
          <w:rFonts w:asciiTheme="minorHAnsi" w:hAnsiTheme="minorHAnsi"/>
          <w:sz w:val="24"/>
          <w:szCs w:val="24"/>
        </w:rPr>
      </w:pPr>
      <w:r>
        <w:rPr>
          <w:rFonts w:asciiTheme="minorHAnsi" w:hAnsiTheme="minorHAnsi"/>
          <w:sz w:val="24"/>
          <w:szCs w:val="24"/>
        </w:rPr>
        <w:t>TFP Management</w:t>
      </w:r>
      <w:r w:rsidR="00191618">
        <w:rPr>
          <w:rFonts w:asciiTheme="minorHAnsi" w:hAnsiTheme="minorHAnsi"/>
          <w:sz w:val="24"/>
          <w:szCs w:val="24"/>
        </w:rPr>
        <w:t>, LLC</w:t>
      </w:r>
      <w:r w:rsidR="00832B50" w:rsidRPr="00653C76">
        <w:rPr>
          <w:rFonts w:asciiTheme="minorHAnsi" w:hAnsiTheme="minorHAnsi"/>
          <w:sz w:val="24"/>
          <w:szCs w:val="24"/>
        </w:rPr>
        <w:t xml:space="preserve"> is a registered investment adviser. Registration of an </w:t>
      </w:r>
      <w:r w:rsidR="005017DC" w:rsidRPr="00653C76">
        <w:rPr>
          <w:rFonts w:asciiTheme="minorHAnsi" w:hAnsiTheme="minorHAnsi"/>
          <w:sz w:val="24"/>
          <w:szCs w:val="24"/>
        </w:rPr>
        <w:t>investment adviser</w:t>
      </w:r>
      <w:r w:rsidR="00832B50" w:rsidRPr="00653C76">
        <w:rPr>
          <w:rFonts w:asciiTheme="minorHAnsi" w:hAnsiTheme="minorHAnsi"/>
          <w:sz w:val="24"/>
          <w:szCs w:val="24"/>
        </w:rPr>
        <w:t xml:space="preserve"> does not imply any level of skill or training. </w:t>
      </w:r>
    </w:p>
    <w:p w14:paraId="64F20705" w14:textId="77777777" w:rsidR="00832B50" w:rsidRPr="00653C76" w:rsidRDefault="00832B50" w:rsidP="00D15F5E">
      <w:pPr>
        <w:jc w:val="both"/>
        <w:rPr>
          <w:rFonts w:asciiTheme="minorHAnsi" w:hAnsiTheme="minorHAnsi"/>
          <w:sz w:val="24"/>
          <w:szCs w:val="24"/>
        </w:rPr>
      </w:pPr>
    </w:p>
    <w:p w14:paraId="2C3D7FB0" w14:textId="2F5EF504" w:rsidR="00FA76BF" w:rsidRDefault="00832B50" w:rsidP="00470205">
      <w:pPr>
        <w:jc w:val="both"/>
        <w:rPr>
          <w:rFonts w:asciiTheme="minorHAnsi" w:hAnsiTheme="minorHAnsi"/>
          <w:sz w:val="24"/>
          <w:szCs w:val="24"/>
        </w:rPr>
      </w:pPr>
      <w:r w:rsidRPr="00653C76">
        <w:rPr>
          <w:rFonts w:asciiTheme="minorHAnsi" w:hAnsiTheme="minorHAnsi"/>
          <w:sz w:val="24"/>
          <w:szCs w:val="24"/>
        </w:rPr>
        <w:t xml:space="preserve">Additional information about </w:t>
      </w:r>
      <w:r w:rsidR="00470205">
        <w:rPr>
          <w:rFonts w:asciiTheme="minorHAnsi" w:hAnsiTheme="minorHAnsi"/>
          <w:sz w:val="24"/>
          <w:szCs w:val="24"/>
        </w:rPr>
        <w:t>TFP Man</w:t>
      </w:r>
      <w:r w:rsidR="00BA55F0">
        <w:rPr>
          <w:rFonts w:asciiTheme="minorHAnsi" w:hAnsiTheme="minorHAnsi"/>
          <w:sz w:val="24"/>
          <w:szCs w:val="24"/>
        </w:rPr>
        <w:t>a</w:t>
      </w:r>
      <w:r w:rsidR="00470205">
        <w:rPr>
          <w:rFonts w:asciiTheme="minorHAnsi" w:hAnsiTheme="minorHAnsi"/>
          <w:sz w:val="24"/>
          <w:szCs w:val="24"/>
        </w:rPr>
        <w:t>gement</w:t>
      </w:r>
      <w:r w:rsidR="004F5FD8">
        <w:rPr>
          <w:rFonts w:asciiTheme="minorHAnsi" w:hAnsiTheme="minorHAnsi"/>
          <w:sz w:val="24"/>
          <w:szCs w:val="24"/>
        </w:rPr>
        <w:t>, LLC</w:t>
      </w:r>
      <w:r w:rsidRPr="00653C76">
        <w:rPr>
          <w:rFonts w:asciiTheme="minorHAnsi" w:hAnsiTheme="minorHAnsi"/>
          <w:sz w:val="24"/>
          <w:szCs w:val="24"/>
        </w:rPr>
        <w:t xml:space="preserve"> is available on the SEC’s website </w:t>
      </w:r>
      <w:hyperlink r:id="rId12" w:history="1">
        <w:r w:rsidR="00905A21" w:rsidRPr="00653C76">
          <w:rPr>
            <w:rStyle w:val="Hyperlink"/>
            <w:rFonts w:asciiTheme="minorHAnsi" w:hAnsiTheme="minorHAnsi"/>
            <w:sz w:val="24"/>
            <w:szCs w:val="24"/>
          </w:rPr>
          <w:t>www.adviserinfo.sec.gov</w:t>
        </w:r>
      </w:hyperlink>
      <w:r w:rsidRPr="00653C76">
        <w:rPr>
          <w:rFonts w:asciiTheme="minorHAnsi" w:hAnsiTheme="minorHAnsi"/>
          <w:sz w:val="24"/>
          <w:szCs w:val="24"/>
        </w:rPr>
        <w:t>.</w:t>
      </w:r>
      <w:r w:rsidR="00905A21" w:rsidRPr="00653C76">
        <w:rPr>
          <w:rFonts w:asciiTheme="minorHAnsi" w:hAnsiTheme="minorHAnsi"/>
          <w:sz w:val="24"/>
          <w:szCs w:val="24"/>
        </w:rPr>
        <w:t xml:space="preserve"> </w:t>
      </w:r>
      <w:r w:rsidRPr="00653C76">
        <w:rPr>
          <w:rFonts w:asciiTheme="minorHAnsi" w:hAnsiTheme="minorHAnsi"/>
          <w:spacing w:val="-3"/>
          <w:sz w:val="24"/>
          <w:szCs w:val="24"/>
        </w:rPr>
        <w:t xml:space="preserve">You can search this site by a unique identifying number, known as a CRD number. </w:t>
      </w:r>
      <w:r w:rsidR="00470205">
        <w:rPr>
          <w:rFonts w:asciiTheme="minorHAnsi" w:hAnsiTheme="minorHAnsi"/>
          <w:spacing w:val="-3"/>
          <w:sz w:val="24"/>
          <w:szCs w:val="24"/>
        </w:rPr>
        <w:t>TFP Management</w:t>
      </w:r>
      <w:r w:rsidR="00191618">
        <w:rPr>
          <w:rFonts w:asciiTheme="minorHAnsi" w:hAnsiTheme="minorHAnsi"/>
          <w:spacing w:val="-3"/>
          <w:sz w:val="24"/>
          <w:szCs w:val="24"/>
        </w:rPr>
        <w:t>, LLC</w:t>
      </w:r>
      <w:r w:rsidR="00470205">
        <w:rPr>
          <w:rFonts w:asciiTheme="minorHAnsi" w:hAnsiTheme="minorHAnsi"/>
          <w:spacing w:val="-3"/>
          <w:sz w:val="24"/>
          <w:szCs w:val="24"/>
        </w:rPr>
        <w:t xml:space="preserve">’s </w:t>
      </w:r>
      <w:r w:rsidRPr="00653C76">
        <w:rPr>
          <w:rFonts w:asciiTheme="minorHAnsi" w:hAnsiTheme="minorHAnsi"/>
          <w:spacing w:val="-3"/>
          <w:sz w:val="24"/>
          <w:szCs w:val="24"/>
        </w:rPr>
        <w:t>CRD number is</w:t>
      </w:r>
      <w:r w:rsidR="007037F9" w:rsidRPr="00653C76">
        <w:rPr>
          <w:rFonts w:asciiTheme="minorHAnsi" w:hAnsiTheme="minorHAnsi"/>
          <w:spacing w:val="-3"/>
          <w:sz w:val="24"/>
          <w:szCs w:val="24"/>
        </w:rPr>
        <w:t xml:space="preserve"> </w:t>
      </w:r>
      <w:r w:rsidR="00470205">
        <w:rPr>
          <w:rFonts w:asciiTheme="minorHAnsi" w:hAnsiTheme="minorHAnsi"/>
          <w:spacing w:val="-3"/>
          <w:sz w:val="24"/>
          <w:szCs w:val="24"/>
        </w:rPr>
        <w:t>313543</w:t>
      </w:r>
      <w:r w:rsidRPr="00653C76">
        <w:rPr>
          <w:rFonts w:asciiTheme="minorHAnsi" w:hAnsiTheme="minorHAnsi"/>
          <w:spacing w:val="-3"/>
          <w:sz w:val="24"/>
          <w:szCs w:val="24"/>
        </w:rPr>
        <w:t xml:space="preserve">.  </w:t>
      </w:r>
    </w:p>
    <w:p w14:paraId="4E5854E9" w14:textId="77777777" w:rsidR="00B452E4" w:rsidRPr="00191618" w:rsidRDefault="00B452E4" w:rsidP="007811B4">
      <w:pPr>
        <w:pStyle w:val="Heading1"/>
        <w:spacing w:after="120"/>
        <w:rPr>
          <w:rFonts w:asciiTheme="majorHAnsi" w:hAnsiTheme="majorHAnsi" w:cstheme="majorHAnsi"/>
        </w:rPr>
      </w:pPr>
      <w:bookmarkStart w:id="1" w:name="_Toc193370239"/>
      <w:r w:rsidRPr="00191618">
        <w:rPr>
          <w:rFonts w:asciiTheme="majorHAnsi" w:hAnsiTheme="majorHAnsi" w:cstheme="majorHAnsi"/>
        </w:rPr>
        <w:lastRenderedPageBreak/>
        <w:t>Item 2 - Material Changes</w:t>
      </w:r>
      <w:bookmarkEnd w:id="1"/>
    </w:p>
    <w:p w14:paraId="0BA16FBC" w14:textId="0E185BBB" w:rsidR="00B94492" w:rsidRDefault="00470205" w:rsidP="00F074A7">
      <w:pPr>
        <w:spacing w:after="120"/>
        <w:jc w:val="both"/>
        <w:rPr>
          <w:rFonts w:asciiTheme="minorHAnsi" w:hAnsiTheme="minorHAnsi"/>
          <w:sz w:val="24"/>
          <w:szCs w:val="24"/>
        </w:rPr>
      </w:pPr>
      <w:r>
        <w:rPr>
          <w:rFonts w:asciiTheme="minorHAnsi" w:hAnsiTheme="minorHAnsi"/>
          <w:sz w:val="24"/>
          <w:szCs w:val="24"/>
        </w:rPr>
        <w:t xml:space="preserve">We do not have any material changes to report </w:t>
      </w:r>
      <w:r w:rsidR="00627A5B">
        <w:rPr>
          <w:rFonts w:asciiTheme="minorHAnsi" w:hAnsiTheme="minorHAnsi"/>
          <w:sz w:val="24"/>
          <w:szCs w:val="24"/>
        </w:rPr>
        <w:t xml:space="preserve">since our </w:t>
      </w:r>
      <w:r w:rsidR="008C5357">
        <w:rPr>
          <w:rFonts w:asciiTheme="minorHAnsi" w:hAnsiTheme="minorHAnsi"/>
          <w:sz w:val="24"/>
          <w:szCs w:val="24"/>
        </w:rPr>
        <w:t xml:space="preserve">last annual update to our brochure, which </w:t>
      </w:r>
      <w:r w:rsidR="00EF0493">
        <w:rPr>
          <w:rFonts w:asciiTheme="minorHAnsi" w:hAnsiTheme="minorHAnsi"/>
          <w:sz w:val="24"/>
          <w:szCs w:val="24"/>
        </w:rPr>
        <w:t>w</w:t>
      </w:r>
      <w:r w:rsidR="008C5357">
        <w:rPr>
          <w:rFonts w:asciiTheme="minorHAnsi" w:hAnsiTheme="minorHAnsi"/>
          <w:sz w:val="24"/>
          <w:szCs w:val="24"/>
        </w:rPr>
        <w:t xml:space="preserve">as on March </w:t>
      </w:r>
      <w:r w:rsidR="00381C59">
        <w:rPr>
          <w:rFonts w:asciiTheme="minorHAnsi" w:hAnsiTheme="minorHAnsi"/>
          <w:sz w:val="24"/>
          <w:szCs w:val="24"/>
        </w:rPr>
        <w:t>21</w:t>
      </w:r>
      <w:r w:rsidR="006D0D55">
        <w:rPr>
          <w:rFonts w:asciiTheme="minorHAnsi" w:hAnsiTheme="minorHAnsi"/>
          <w:sz w:val="24"/>
          <w:szCs w:val="24"/>
        </w:rPr>
        <w:t>, 202</w:t>
      </w:r>
      <w:r w:rsidR="00381C59">
        <w:rPr>
          <w:rFonts w:asciiTheme="minorHAnsi" w:hAnsiTheme="minorHAnsi"/>
          <w:sz w:val="24"/>
          <w:szCs w:val="24"/>
        </w:rPr>
        <w:t>5</w:t>
      </w:r>
      <w:r w:rsidR="009666AD">
        <w:rPr>
          <w:rFonts w:asciiTheme="minorHAnsi" w:hAnsiTheme="minorHAnsi"/>
          <w:sz w:val="24"/>
          <w:szCs w:val="24"/>
        </w:rPr>
        <w:t xml:space="preserve">. </w:t>
      </w:r>
      <w:r>
        <w:rPr>
          <w:rFonts w:asciiTheme="minorHAnsi" w:hAnsiTheme="minorHAnsi"/>
          <w:sz w:val="24"/>
          <w:szCs w:val="24"/>
        </w:rPr>
        <w:t xml:space="preserve"> </w:t>
      </w:r>
    </w:p>
    <w:p w14:paraId="2D9F6BEE" w14:textId="77777777" w:rsidR="00A10217" w:rsidRPr="00653C76" w:rsidRDefault="00A10217" w:rsidP="00D15F5E">
      <w:pPr>
        <w:spacing w:after="120"/>
        <w:jc w:val="both"/>
        <w:rPr>
          <w:rFonts w:asciiTheme="minorHAnsi" w:hAnsiTheme="minorHAnsi"/>
          <w:sz w:val="24"/>
          <w:szCs w:val="24"/>
        </w:rPr>
      </w:pPr>
      <w:r w:rsidRPr="00653C76">
        <w:rPr>
          <w:rFonts w:asciiTheme="minorHAnsi" w:hAnsiTheme="minorHAnsi"/>
          <w:sz w:val="24"/>
          <w:szCs w:val="24"/>
        </w:rPr>
        <w:br w:type="page"/>
      </w:r>
    </w:p>
    <w:p w14:paraId="57FC615A" w14:textId="77777777" w:rsidR="00FA76BF" w:rsidRPr="00191618" w:rsidRDefault="00271365" w:rsidP="00931CE1">
      <w:pPr>
        <w:pStyle w:val="Heading1"/>
        <w:rPr>
          <w:rFonts w:asciiTheme="majorHAnsi" w:hAnsiTheme="majorHAnsi" w:cstheme="majorHAnsi"/>
        </w:rPr>
      </w:pPr>
      <w:bookmarkStart w:id="2" w:name="_Toc193370240"/>
      <w:r w:rsidRPr="00191618">
        <w:rPr>
          <w:rFonts w:asciiTheme="majorHAnsi" w:hAnsiTheme="majorHAnsi" w:cstheme="majorHAnsi"/>
        </w:rPr>
        <w:lastRenderedPageBreak/>
        <w:t>Item 3 – Table of Contents</w:t>
      </w:r>
      <w:bookmarkEnd w:id="2"/>
    </w:p>
    <w:sdt>
      <w:sdtPr>
        <w:rPr>
          <w:rFonts w:ascii="Calibri" w:hAnsi="Calibri"/>
          <w:b w:val="0"/>
          <w:bCs w:val="0"/>
          <w:color w:val="auto"/>
          <w:sz w:val="22"/>
          <w:szCs w:val="22"/>
        </w:rPr>
        <w:id w:val="-1132784638"/>
        <w:docPartObj>
          <w:docPartGallery w:val="Table of Contents"/>
          <w:docPartUnique/>
        </w:docPartObj>
      </w:sdtPr>
      <w:sdtEndPr>
        <w:rPr>
          <w:noProof/>
        </w:rPr>
      </w:sdtEndPr>
      <w:sdtContent>
        <w:p w14:paraId="082F9603" w14:textId="77777777" w:rsidR="00FA76BF" w:rsidRDefault="00FA76BF" w:rsidP="00D15F5E">
          <w:pPr>
            <w:pStyle w:val="TOCHeading"/>
            <w:spacing w:before="0" w:line="240" w:lineRule="auto"/>
          </w:pPr>
          <w:r>
            <w:t xml:space="preserve"> </w:t>
          </w:r>
        </w:p>
        <w:p w14:paraId="1ECDF583" w14:textId="04CA7775" w:rsidR="00437ECE" w:rsidRPr="00437ECE" w:rsidRDefault="00181D3C">
          <w:pPr>
            <w:pStyle w:val="TOC1"/>
            <w:tabs>
              <w:tab w:val="clear" w:pos="9360"/>
              <w:tab w:val="right" w:leader="dot" w:pos="9350"/>
            </w:tabs>
          </w:pPr>
          <w:r w:rsidRPr="00437ECE">
            <w:t>Item 1 – Cover Page…………………………………………………………………………………………………………………………</w:t>
          </w:r>
          <w:r w:rsidR="00B363FA">
            <w:tab/>
          </w:r>
          <w:r w:rsidRPr="00437ECE">
            <w:t>………1</w:t>
          </w:r>
        </w:p>
        <w:p w14:paraId="62B2D01B" w14:textId="3392D236" w:rsidR="00437ECE" w:rsidRDefault="00FA76BF">
          <w:pPr>
            <w:pStyle w:val="TOC1"/>
            <w:tabs>
              <w:tab w:val="clear" w:pos="9360"/>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93370239" w:history="1">
            <w:r w:rsidR="00437ECE" w:rsidRPr="003210EF">
              <w:rPr>
                <w:rStyle w:val="Hyperlink"/>
                <w:rFonts w:cstheme="majorHAnsi"/>
                <w:noProof/>
              </w:rPr>
              <w:t>Item 2 - Material Changes</w:t>
            </w:r>
            <w:r w:rsidR="00437ECE">
              <w:rPr>
                <w:rStyle w:val="Hyperlink"/>
                <w:rFonts w:cstheme="majorHAnsi"/>
                <w:noProof/>
              </w:rPr>
              <w:tab/>
            </w:r>
            <w:r w:rsidR="00437ECE">
              <w:rPr>
                <w:noProof/>
                <w:webHidden/>
              </w:rPr>
              <w:fldChar w:fldCharType="begin"/>
            </w:r>
            <w:r w:rsidR="00437ECE">
              <w:rPr>
                <w:noProof/>
                <w:webHidden/>
              </w:rPr>
              <w:instrText xml:space="preserve"> PAGEREF _Toc193370239 \h </w:instrText>
            </w:r>
            <w:r w:rsidR="00437ECE">
              <w:rPr>
                <w:noProof/>
                <w:webHidden/>
              </w:rPr>
            </w:r>
            <w:r w:rsidR="00437ECE">
              <w:rPr>
                <w:noProof/>
                <w:webHidden/>
              </w:rPr>
              <w:fldChar w:fldCharType="separate"/>
            </w:r>
            <w:r w:rsidR="007E24CF">
              <w:rPr>
                <w:noProof/>
                <w:webHidden/>
              </w:rPr>
              <w:t>2</w:t>
            </w:r>
            <w:r w:rsidR="00437ECE">
              <w:rPr>
                <w:noProof/>
                <w:webHidden/>
              </w:rPr>
              <w:fldChar w:fldCharType="end"/>
            </w:r>
          </w:hyperlink>
        </w:p>
        <w:p w14:paraId="00E69426" w14:textId="520F182F" w:rsidR="00437ECE" w:rsidRDefault="00437ECE">
          <w:pPr>
            <w:pStyle w:val="TOC1"/>
            <w:tabs>
              <w:tab w:val="clear" w:pos="9360"/>
              <w:tab w:val="right" w:leader="dot" w:pos="9350"/>
            </w:tabs>
            <w:rPr>
              <w:rFonts w:asciiTheme="minorHAnsi" w:eastAsiaTheme="minorEastAsia" w:hAnsiTheme="minorHAnsi" w:cstheme="minorBidi"/>
              <w:noProof/>
              <w:kern w:val="2"/>
              <w:sz w:val="24"/>
              <w:szCs w:val="24"/>
              <w14:ligatures w14:val="standardContextual"/>
            </w:rPr>
          </w:pPr>
          <w:hyperlink w:anchor="_Toc193370240" w:history="1">
            <w:r w:rsidRPr="003210EF">
              <w:rPr>
                <w:rStyle w:val="Hyperlink"/>
                <w:rFonts w:cstheme="majorHAnsi"/>
                <w:noProof/>
              </w:rPr>
              <w:t>Item 3 – Table of Contents</w:t>
            </w:r>
            <w:r>
              <w:rPr>
                <w:noProof/>
                <w:webHidden/>
              </w:rPr>
              <w:tab/>
            </w:r>
            <w:r>
              <w:rPr>
                <w:noProof/>
                <w:webHidden/>
              </w:rPr>
              <w:fldChar w:fldCharType="begin"/>
            </w:r>
            <w:r>
              <w:rPr>
                <w:noProof/>
                <w:webHidden/>
              </w:rPr>
              <w:instrText xml:space="preserve"> PAGEREF _Toc193370240 \h </w:instrText>
            </w:r>
            <w:r>
              <w:rPr>
                <w:noProof/>
                <w:webHidden/>
              </w:rPr>
            </w:r>
            <w:r>
              <w:rPr>
                <w:noProof/>
                <w:webHidden/>
              </w:rPr>
              <w:fldChar w:fldCharType="separate"/>
            </w:r>
            <w:r w:rsidR="007E24CF">
              <w:rPr>
                <w:noProof/>
                <w:webHidden/>
              </w:rPr>
              <w:t>3</w:t>
            </w:r>
            <w:r>
              <w:rPr>
                <w:noProof/>
                <w:webHidden/>
              </w:rPr>
              <w:fldChar w:fldCharType="end"/>
            </w:r>
          </w:hyperlink>
        </w:p>
        <w:p w14:paraId="28CE1E58" w14:textId="411BE5EC" w:rsidR="00437ECE" w:rsidRDefault="00437ECE">
          <w:pPr>
            <w:pStyle w:val="TOC1"/>
            <w:tabs>
              <w:tab w:val="clear" w:pos="9360"/>
              <w:tab w:val="right" w:leader="dot" w:pos="9350"/>
            </w:tabs>
            <w:rPr>
              <w:rFonts w:asciiTheme="minorHAnsi" w:eastAsiaTheme="minorEastAsia" w:hAnsiTheme="minorHAnsi" w:cstheme="minorBidi"/>
              <w:noProof/>
              <w:kern w:val="2"/>
              <w:sz w:val="24"/>
              <w:szCs w:val="24"/>
              <w14:ligatures w14:val="standardContextual"/>
            </w:rPr>
          </w:pPr>
          <w:hyperlink w:anchor="_Toc193370241" w:history="1">
            <w:r w:rsidRPr="003210EF">
              <w:rPr>
                <w:rStyle w:val="Hyperlink"/>
                <w:rFonts w:cstheme="majorHAnsi"/>
                <w:noProof/>
              </w:rPr>
              <w:t>Item 4 – Advisory Business</w:t>
            </w:r>
            <w:r>
              <w:rPr>
                <w:noProof/>
                <w:webHidden/>
              </w:rPr>
              <w:tab/>
            </w:r>
            <w:r>
              <w:rPr>
                <w:noProof/>
                <w:webHidden/>
              </w:rPr>
              <w:fldChar w:fldCharType="begin"/>
            </w:r>
            <w:r>
              <w:rPr>
                <w:noProof/>
                <w:webHidden/>
              </w:rPr>
              <w:instrText xml:space="preserve"> PAGEREF _Toc193370241 \h </w:instrText>
            </w:r>
            <w:r>
              <w:rPr>
                <w:noProof/>
                <w:webHidden/>
              </w:rPr>
            </w:r>
            <w:r>
              <w:rPr>
                <w:noProof/>
                <w:webHidden/>
              </w:rPr>
              <w:fldChar w:fldCharType="separate"/>
            </w:r>
            <w:r w:rsidR="007E24CF">
              <w:rPr>
                <w:noProof/>
                <w:webHidden/>
              </w:rPr>
              <w:t>4</w:t>
            </w:r>
            <w:r>
              <w:rPr>
                <w:noProof/>
                <w:webHidden/>
              </w:rPr>
              <w:fldChar w:fldCharType="end"/>
            </w:r>
          </w:hyperlink>
        </w:p>
        <w:p w14:paraId="066ED3B7" w14:textId="11BB0BD7" w:rsidR="00437ECE" w:rsidRDefault="00437ECE">
          <w:pPr>
            <w:pStyle w:val="TOC1"/>
            <w:tabs>
              <w:tab w:val="clear" w:pos="9360"/>
              <w:tab w:val="right" w:leader="dot" w:pos="9350"/>
            </w:tabs>
            <w:rPr>
              <w:rFonts w:asciiTheme="minorHAnsi" w:eastAsiaTheme="minorEastAsia" w:hAnsiTheme="minorHAnsi" w:cstheme="minorBidi"/>
              <w:noProof/>
              <w:kern w:val="2"/>
              <w:sz w:val="24"/>
              <w:szCs w:val="24"/>
              <w14:ligatures w14:val="standardContextual"/>
            </w:rPr>
          </w:pPr>
          <w:hyperlink w:anchor="_Toc193370242" w:history="1">
            <w:r w:rsidRPr="003210EF">
              <w:rPr>
                <w:rStyle w:val="Hyperlink"/>
                <w:rFonts w:cstheme="majorHAnsi"/>
                <w:noProof/>
              </w:rPr>
              <w:t>Item 5 – Fees and Compensation</w:t>
            </w:r>
            <w:r>
              <w:rPr>
                <w:noProof/>
                <w:webHidden/>
              </w:rPr>
              <w:tab/>
            </w:r>
            <w:r>
              <w:rPr>
                <w:noProof/>
                <w:webHidden/>
              </w:rPr>
              <w:fldChar w:fldCharType="begin"/>
            </w:r>
            <w:r>
              <w:rPr>
                <w:noProof/>
                <w:webHidden/>
              </w:rPr>
              <w:instrText xml:space="preserve"> PAGEREF _Toc193370242 \h </w:instrText>
            </w:r>
            <w:r>
              <w:rPr>
                <w:noProof/>
                <w:webHidden/>
              </w:rPr>
            </w:r>
            <w:r>
              <w:rPr>
                <w:noProof/>
                <w:webHidden/>
              </w:rPr>
              <w:fldChar w:fldCharType="separate"/>
            </w:r>
            <w:r w:rsidR="007E24CF">
              <w:rPr>
                <w:noProof/>
                <w:webHidden/>
              </w:rPr>
              <w:t>5</w:t>
            </w:r>
            <w:r>
              <w:rPr>
                <w:noProof/>
                <w:webHidden/>
              </w:rPr>
              <w:fldChar w:fldCharType="end"/>
            </w:r>
          </w:hyperlink>
        </w:p>
        <w:p w14:paraId="64BCC5DE" w14:textId="13825678" w:rsidR="00437ECE" w:rsidRDefault="00437ECE">
          <w:pPr>
            <w:pStyle w:val="TOC1"/>
            <w:tabs>
              <w:tab w:val="clear" w:pos="9360"/>
              <w:tab w:val="right" w:leader="dot" w:pos="9350"/>
            </w:tabs>
            <w:rPr>
              <w:rFonts w:asciiTheme="minorHAnsi" w:eastAsiaTheme="minorEastAsia" w:hAnsiTheme="minorHAnsi" w:cstheme="minorBidi"/>
              <w:noProof/>
              <w:kern w:val="2"/>
              <w:sz w:val="24"/>
              <w:szCs w:val="24"/>
              <w14:ligatures w14:val="standardContextual"/>
            </w:rPr>
          </w:pPr>
          <w:hyperlink w:anchor="_Toc193370243" w:history="1">
            <w:r w:rsidRPr="003210EF">
              <w:rPr>
                <w:rStyle w:val="Hyperlink"/>
                <w:rFonts w:cstheme="majorHAnsi"/>
                <w:noProof/>
              </w:rPr>
              <w:t>Item 6 – Performance-Based Fees and Side by Side Management</w:t>
            </w:r>
            <w:r>
              <w:rPr>
                <w:noProof/>
                <w:webHidden/>
              </w:rPr>
              <w:tab/>
            </w:r>
            <w:r>
              <w:rPr>
                <w:noProof/>
                <w:webHidden/>
              </w:rPr>
              <w:fldChar w:fldCharType="begin"/>
            </w:r>
            <w:r>
              <w:rPr>
                <w:noProof/>
                <w:webHidden/>
              </w:rPr>
              <w:instrText xml:space="preserve"> PAGEREF _Toc193370243 \h </w:instrText>
            </w:r>
            <w:r>
              <w:rPr>
                <w:noProof/>
                <w:webHidden/>
              </w:rPr>
            </w:r>
            <w:r>
              <w:rPr>
                <w:noProof/>
                <w:webHidden/>
              </w:rPr>
              <w:fldChar w:fldCharType="separate"/>
            </w:r>
            <w:r w:rsidR="007E24CF">
              <w:rPr>
                <w:noProof/>
                <w:webHidden/>
              </w:rPr>
              <w:t>6</w:t>
            </w:r>
            <w:r>
              <w:rPr>
                <w:noProof/>
                <w:webHidden/>
              </w:rPr>
              <w:fldChar w:fldCharType="end"/>
            </w:r>
          </w:hyperlink>
        </w:p>
        <w:p w14:paraId="38FFC88D" w14:textId="4B494879" w:rsidR="00437ECE" w:rsidRDefault="00437ECE">
          <w:pPr>
            <w:pStyle w:val="TOC1"/>
            <w:tabs>
              <w:tab w:val="clear" w:pos="9360"/>
              <w:tab w:val="right" w:leader="dot" w:pos="9350"/>
            </w:tabs>
            <w:rPr>
              <w:rFonts w:asciiTheme="minorHAnsi" w:eastAsiaTheme="minorEastAsia" w:hAnsiTheme="minorHAnsi" w:cstheme="minorBidi"/>
              <w:noProof/>
              <w:kern w:val="2"/>
              <w:sz w:val="24"/>
              <w:szCs w:val="24"/>
              <w14:ligatures w14:val="standardContextual"/>
            </w:rPr>
          </w:pPr>
          <w:hyperlink w:anchor="_Toc193370244" w:history="1">
            <w:r w:rsidRPr="003210EF">
              <w:rPr>
                <w:rStyle w:val="Hyperlink"/>
                <w:rFonts w:cstheme="majorHAnsi"/>
                <w:noProof/>
              </w:rPr>
              <w:t>Item 7 – Types of Clients</w:t>
            </w:r>
            <w:r>
              <w:rPr>
                <w:noProof/>
                <w:webHidden/>
              </w:rPr>
              <w:tab/>
            </w:r>
            <w:r>
              <w:rPr>
                <w:noProof/>
                <w:webHidden/>
              </w:rPr>
              <w:fldChar w:fldCharType="begin"/>
            </w:r>
            <w:r>
              <w:rPr>
                <w:noProof/>
                <w:webHidden/>
              </w:rPr>
              <w:instrText xml:space="preserve"> PAGEREF _Toc193370244 \h </w:instrText>
            </w:r>
            <w:r>
              <w:rPr>
                <w:noProof/>
                <w:webHidden/>
              </w:rPr>
            </w:r>
            <w:r>
              <w:rPr>
                <w:noProof/>
                <w:webHidden/>
              </w:rPr>
              <w:fldChar w:fldCharType="separate"/>
            </w:r>
            <w:r w:rsidR="007E24CF">
              <w:rPr>
                <w:noProof/>
                <w:webHidden/>
              </w:rPr>
              <w:t>6</w:t>
            </w:r>
            <w:r>
              <w:rPr>
                <w:noProof/>
                <w:webHidden/>
              </w:rPr>
              <w:fldChar w:fldCharType="end"/>
            </w:r>
          </w:hyperlink>
        </w:p>
        <w:p w14:paraId="47BDA4C9" w14:textId="7CD3F4A5" w:rsidR="00437ECE" w:rsidRDefault="00437ECE">
          <w:pPr>
            <w:pStyle w:val="TOC1"/>
            <w:tabs>
              <w:tab w:val="clear" w:pos="9360"/>
              <w:tab w:val="right" w:leader="dot" w:pos="9350"/>
            </w:tabs>
            <w:rPr>
              <w:rFonts w:asciiTheme="minorHAnsi" w:eastAsiaTheme="minorEastAsia" w:hAnsiTheme="minorHAnsi" w:cstheme="minorBidi"/>
              <w:noProof/>
              <w:kern w:val="2"/>
              <w:sz w:val="24"/>
              <w:szCs w:val="24"/>
              <w14:ligatures w14:val="standardContextual"/>
            </w:rPr>
          </w:pPr>
          <w:hyperlink w:anchor="_Toc193370245" w:history="1">
            <w:r w:rsidRPr="003210EF">
              <w:rPr>
                <w:rStyle w:val="Hyperlink"/>
                <w:rFonts w:cstheme="majorHAnsi"/>
                <w:noProof/>
              </w:rPr>
              <w:t>Item 8 – Methods of Analysis, Investment Strategies and Risk of Loss</w:t>
            </w:r>
            <w:r>
              <w:rPr>
                <w:noProof/>
                <w:webHidden/>
              </w:rPr>
              <w:tab/>
            </w:r>
            <w:r>
              <w:rPr>
                <w:noProof/>
                <w:webHidden/>
              </w:rPr>
              <w:fldChar w:fldCharType="begin"/>
            </w:r>
            <w:r>
              <w:rPr>
                <w:noProof/>
                <w:webHidden/>
              </w:rPr>
              <w:instrText xml:space="preserve"> PAGEREF _Toc193370245 \h </w:instrText>
            </w:r>
            <w:r>
              <w:rPr>
                <w:noProof/>
                <w:webHidden/>
              </w:rPr>
            </w:r>
            <w:r>
              <w:rPr>
                <w:noProof/>
                <w:webHidden/>
              </w:rPr>
              <w:fldChar w:fldCharType="separate"/>
            </w:r>
            <w:r w:rsidR="007E24CF">
              <w:rPr>
                <w:noProof/>
                <w:webHidden/>
              </w:rPr>
              <w:t>6</w:t>
            </w:r>
            <w:r>
              <w:rPr>
                <w:noProof/>
                <w:webHidden/>
              </w:rPr>
              <w:fldChar w:fldCharType="end"/>
            </w:r>
          </w:hyperlink>
        </w:p>
        <w:p w14:paraId="51678B82" w14:textId="6991CBB0" w:rsidR="00437ECE" w:rsidRDefault="00437ECE">
          <w:pPr>
            <w:pStyle w:val="TOC1"/>
            <w:tabs>
              <w:tab w:val="clear" w:pos="9360"/>
              <w:tab w:val="right" w:leader="dot" w:pos="9350"/>
            </w:tabs>
            <w:rPr>
              <w:rFonts w:asciiTheme="minorHAnsi" w:eastAsiaTheme="minorEastAsia" w:hAnsiTheme="minorHAnsi" w:cstheme="minorBidi"/>
              <w:noProof/>
              <w:kern w:val="2"/>
              <w:sz w:val="24"/>
              <w:szCs w:val="24"/>
              <w14:ligatures w14:val="standardContextual"/>
            </w:rPr>
          </w:pPr>
          <w:hyperlink w:anchor="_Toc193370246" w:history="1">
            <w:r w:rsidRPr="003210EF">
              <w:rPr>
                <w:rStyle w:val="Hyperlink"/>
                <w:rFonts w:cstheme="majorHAnsi"/>
                <w:noProof/>
              </w:rPr>
              <w:t>Item 9 – Disciplinary Information</w:t>
            </w:r>
            <w:r>
              <w:rPr>
                <w:noProof/>
                <w:webHidden/>
              </w:rPr>
              <w:tab/>
            </w:r>
            <w:r>
              <w:rPr>
                <w:noProof/>
                <w:webHidden/>
              </w:rPr>
              <w:fldChar w:fldCharType="begin"/>
            </w:r>
            <w:r>
              <w:rPr>
                <w:noProof/>
                <w:webHidden/>
              </w:rPr>
              <w:instrText xml:space="preserve"> PAGEREF _Toc193370246 \h </w:instrText>
            </w:r>
            <w:r>
              <w:rPr>
                <w:noProof/>
                <w:webHidden/>
              </w:rPr>
            </w:r>
            <w:r>
              <w:rPr>
                <w:noProof/>
                <w:webHidden/>
              </w:rPr>
              <w:fldChar w:fldCharType="separate"/>
            </w:r>
            <w:r w:rsidR="007E24CF">
              <w:rPr>
                <w:noProof/>
                <w:webHidden/>
              </w:rPr>
              <w:t>9</w:t>
            </w:r>
            <w:r>
              <w:rPr>
                <w:noProof/>
                <w:webHidden/>
              </w:rPr>
              <w:fldChar w:fldCharType="end"/>
            </w:r>
          </w:hyperlink>
        </w:p>
        <w:p w14:paraId="0C5FE7ED" w14:textId="7E6A1398" w:rsidR="00437ECE" w:rsidRDefault="00437ECE">
          <w:pPr>
            <w:pStyle w:val="TOC1"/>
            <w:tabs>
              <w:tab w:val="clear" w:pos="9360"/>
              <w:tab w:val="right" w:leader="dot" w:pos="9350"/>
            </w:tabs>
            <w:rPr>
              <w:rFonts w:asciiTheme="minorHAnsi" w:eastAsiaTheme="minorEastAsia" w:hAnsiTheme="minorHAnsi" w:cstheme="minorBidi"/>
              <w:noProof/>
              <w:kern w:val="2"/>
              <w:sz w:val="24"/>
              <w:szCs w:val="24"/>
              <w14:ligatures w14:val="standardContextual"/>
            </w:rPr>
          </w:pPr>
          <w:hyperlink w:anchor="_Toc193370247" w:history="1">
            <w:r w:rsidRPr="003210EF">
              <w:rPr>
                <w:rStyle w:val="Hyperlink"/>
                <w:rFonts w:cstheme="majorHAnsi"/>
                <w:noProof/>
              </w:rPr>
              <w:t>Item 10 – Other Financial Industry Activities and Affiliations</w:t>
            </w:r>
            <w:r>
              <w:rPr>
                <w:noProof/>
                <w:webHidden/>
              </w:rPr>
              <w:tab/>
            </w:r>
            <w:r>
              <w:rPr>
                <w:noProof/>
                <w:webHidden/>
              </w:rPr>
              <w:fldChar w:fldCharType="begin"/>
            </w:r>
            <w:r>
              <w:rPr>
                <w:noProof/>
                <w:webHidden/>
              </w:rPr>
              <w:instrText xml:space="preserve"> PAGEREF _Toc193370247 \h </w:instrText>
            </w:r>
            <w:r>
              <w:rPr>
                <w:noProof/>
                <w:webHidden/>
              </w:rPr>
            </w:r>
            <w:r>
              <w:rPr>
                <w:noProof/>
                <w:webHidden/>
              </w:rPr>
              <w:fldChar w:fldCharType="separate"/>
            </w:r>
            <w:r w:rsidR="007E24CF">
              <w:rPr>
                <w:noProof/>
                <w:webHidden/>
              </w:rPr>
              <w:t>9</w:t>
            </w:r>
            <w:r>
              <w:rPr>
                <w:noProof/>
                <w:webHidden/>
              </w:rPr>
              <w:fldChar w:fldCharType="end"/>
            </w:r>
          </w:hyperlink>
        </w:p>
        <w:p w14:paraId="56511F93" w14:textId="473197F8" w:rsidR="00437ECE" w:rsidRDefault="00437ECE">
          <w:pPr>
            <w:pStyle w:val="TOC1"/>
            <w:tabs>
              <w:tab w:val="clear" w:pos="9360"/>
              <w:tab w:val="right" w:leader="dot" w:pos="9350"/>
            </w:tabs>
            <w:rPr>
              <w:rFonts w:asciiTheme="minorHAnsi" w:eastAsiaTheme="minorEastAsia" w:hAnsiTheme="minorHAnsi" w:cstheme="minorBidi"/>
              <w:noProof/>
              <w:kern w:val="2"/>
              <w:sz w:val="24"/>
              <w:szCs w:val="24"/>
              <w14:ligatures w14:val="standardContextual"/>
            </w:rPr>
          </w:pPr>
          <w:hyperlink w:anchor="_Toc193370248" w:history="1">
            <w:r w:rsidRPr="003210EF">
              <w:rPr>
                <w:rStyle w:val="Hyperlink"/>
                <w:rFonts w:cstheme="majorHAnsi"/>
                <w:noProof/>
              </w:rPr>
              <w:t>Item 11 – Code of Ethics, Participation or Interest in Client Transactions and Personal Trading</w:t>
            </w:r>
            <w:r>
              <w:rPr>
                <w:noProof/>
                <w:webHidden/>
              </w:rPr>
              <w:tab/>
            </w:r>
            <w:r>
              <w:rPr>
                <w:noProof/>
                <w:webHidden/>
              </w:rPr>
              <w:fldChar w:fldCharType="begin"/>
            </w:r>
            <w:r>
              <w:rPr>
                <w:noProof/>
                <w:webHidden/>
              </w:rPr>
              <w:instrText xml:space="preserve"> PAGEREF _Toc193370248 \h </w:instrText>
            </w:r>
            <w:r>
              <w:rPr>
                <w:noProof/>
                <w:webHidden/>
              </w:rPr>
            </w:r>
            <w:r>
              <w:rPr>
                <w:noProof/>
                <w:webHidden/>
              </w:rPr>
              <w:fldChar w:fldCharType="separate"/>
            </w:r>
            <w:r w:rsidR="007E24CF">
              <w:rPr>
                <w:noProof/>
                <w:webHidden/>
              </w:rPr>
              <w:t>10</w:t>
            </w:r>
            <w:r>
              <w:rPr>
                <w:noProof/>
                <w:webHidden/>
              </w:rPr>
              <w:fldChar w:fldCharType="end"/>
            </w:r>
          </w:hyperlink>
        </w:p>
        <w:p w14:paraId="01353840" w14:textId="4C8648EC" w:rsidR="00437ECE" w:rsidRDefault="00437ECE">
          <w:pPr>
            <w:pStyle w:val="TOC1"/>
            <w:tabs>
              <w:tab w:val="clear" w:pos="9360"/>
              <w:tab w:val="right" w:leader="dot" w:pos="9350"/>
            </w:tabs>
            <w:rPr>
              <w:rFonts w:asciiTheme="minorHAnsi" w:eastAsiaTheme="minorEastAsia" w:hAnsiTheme="minorHAnsi" w:cstheme="minorBidi"/>
              <w:noProof/>
              <w:kern w:val="2"/>
              <w:sz w:val="24"/>
              <w:szCs w:val="24"/>
              <w14:ligatures w14:val="standardContextual"/>
            </w:rPr>
          </w:pPr>
          <w:hyperlink w:anchor="_Toc193370249" w:history="1">
            <w:r w:rsidRPr="003210EF">
              <w:rPr>
                <w:rStyle w:val="Hyperlink"/>
                <w:rFonts w:cstheme="majorHAnsi"/>
                <w:noProof/>
              </w:rPr>
              <w:t>Item 12 – Brokerage Practices</w:t>
            </w:r>
            <w:r>
              <w:rPr>
                <w:noProof/>
                <w:webHidden/>
              </w:rPr>
              <w:tab/>
            </w:r>
            <w:r>
              <w:rPr>
                <w:noProof/>
                <w:webHidden/>
              </w:rPr>
              <w:fldChar w:fldCharType="begin"/>
            </w:r>
            <w:r>
              <w:rPr>
                <w:noProof/>
                <w:webHidden/>
              </w:rPr>
              <w:instrText xml:space="preserve"> PAGEREF _Toc193370249 \h </w:instrText>
            </w:r>
            <w:r>
              <w:rPr>
                <w:noProof/>
                <w:webHidden/>
              </w:rPr>
            </w:r>
            <w:r>
              <w:rPr>
                <w:noProof/>
                <w:webHidden/>
              </w:rPr>
              <w:fldChar w:fldCharType="separate"/>
            </w:r>
            <w:r w:rsidR="007E24CF">
              <w:rPr>
                <w:noProof/>
                <w:webHidden/>
              </w:rPr>
              <w:t>10</w:t>
            </w:r>
            <w:r>
              <w:rPr>
                <w:noProof/>
                <w:webHidden/>
              </w:rPr>
              <w:fldChar w:fldCharType="end"/>
            </w:r>
          </w:hyperlink>
        </w:p>
        <w:p w14:paraId="71BBADAA" w14:textId="28811042" w:rsidR="00437ECE" w:rsidRDefault="00437ECE">
          <w:pPr>
            <w:pStyle w:val="TOC1"/>
            <w:tabs>
              <w:tab w:val="clear" w:pos="9360"/>
              <w:tab w:val="right" w:leader="dot" w:pos="9350"/>
            </w:tabs>
            <w:rPr>
              <w:rFonts w:asciiTheme="minorHAnsi" w:eastAsiaTheme="minorEastAsia" w:hAnsiTheme="minorHAnsi" w:cstheme="minorBidi"/>
              <w:noProof/>
              <w:kern w:val="2"/>
              <w:sz w:val="24"/>
              <w:szCs w:val="24"/>
              <w14:ligatures w14:val="standardContextual"/>
            </w:rPr>
          </w:pPr>
          <w:hyperlink w:anchor="_Toc193370250" w:history="1">
            <w:r w:rsidRPr="003210EF">
              <w:rPr>
                <w:rStyle w:val="Hyperlink"/>
                <w:rFonts w:cstheme="majorHAnsi"/>
                <w:noProof/>
              </w:rPr>
              <w:t>Item 13 – Review of Accounts</w:t>
            </w:r>
            <w:r>
              <w:rPr>
                <w:noProof/>
                <w:webHidden/>
              </w:rPr>
              <w:tab/>
            </w:r>
            <w:r>
              <w:rPr>
                <w:noProof/>
                <w:webHidden/>
              </w:rPr>
              <w:fldChar w:fldCharType="begin"/>
            </w:r>
            <w:r>
              <w:rPr>
                <w:noProof/>
                <w:webHidden/>
              </w:rPr>
              <w:instrText xml:space="preserve"> PAGEREF _Toc193370250 \h </w:instrText>
            </w:r>
            <w:r>
              <w:rPr>
                <w:noProof/>
                <w:webHidden/>
              </w:rPr>
            </w:r>
            <w:r>
              <w:rPr>
                <w:noProof/>
                <w:webHidden/>
              </w:rPr>
              <w:fldChar w:fldCharType="separate"/>
            </w:r>
            <w:r w:rsidR="007E24CF">
              <w:rPr>
                <w:noProof/>
                <w:webHidden/>
              </w:rPr>
              <w:t>11</w:t>
            </w:r>
            <w:r>
              <w:rPr>
                <w:noProof/>
                <w:webHidden/>
              </w:rPr>
              <w:fldChar w:fldCharType="end"/>
            </w:r>
          </w:hyperlink>
        </w:p>
        <w:p w14:paraId="4802385D" w14:textId="7D6053EC" w:rsidR="00437ECE" w:rsidRDefault="00437ECE">
          <w:pPr>
            <w:pStyle w:val="TOC1"/>
            <w:tabs>
              <w:tab w:val="clear" w:pos="9360"/>
              <w:tab w:val="right" w:leader="dot" w:pos="9350"/>
            </w:tabs>
            <w:rPr>
              <w:rFonts w:asciiTheme="minorHAnsi" w:eastAsiaTheme="minorEastAsia" w:hAnsiTheme="minorHAnsi" w:cstheme="minorBidi"/>
              <w:noProof/>
              <w:kern w:val="2"/>
              <w:sz w:val="24"/>
              <w:szCs w:val="24"/>
              <w14:ligatures w14:val="standardContextual"/>
            </w:rPr>
          </w:pPr>
          <w:hyperlink w:anchor="_Toc193370251" w:history="1">
            <w:r w:rsidRPr="003210EF">
              <w:rPr>
                <w:rStyle w:val="Hyperlink"/>
                <w:rFonts w:cstheme="majorHAnsi"/>
                <w:noProof/>
              </w:rPr>
              <w:t>Item 14 – Client Referrals and Other Compensation</w:t>
            </w:r>
            <w:r>
              <w:rPr>
                <w:noProof/>
                <w:webHidden/>
              </w:rPr>
              <w:tab/>
            </w:r>
            <w:r>
              <w:rPr>
                <w:noProof/>
                <w:webHidden/>
              </w:rPr>
              <w:fldChar w:fldCharType="begin"/>
            </w:r>
            <w:r>
              <w:rPr>
                <w:noProof/>
                <w:webHidden/>
              </w:rPr>
              <w:instrText xml:space="preserve"> PAGEREF _Toc193370251 \h </w:instrText>
            </w:r>
            <w:r>
              <w:rPr>
                <w:noProof/>
                <w:webHidden/>
              </w:rPr>
            </w:r>
            <w:r>
              <w:rPr>
                <w:noProof/>
                <w:webHidden/>
              </w:rPr>
              <w:fldChar w:fldCharType="separate"/>
            </w:r>
            <w:r w:rsidR="007E24CF">
              <w:rPr>
                <w:noProof/>
                <w:webHidden/>
              </w:rPr>
              <w:t>12</w:t>
            </w:r>
            <w:r>
              <w:rPr>
                <w:noProof/>
                <w:webHidden/>
              </w:rPr>
              <w:fldChar w:fldCharType="end"/>
            </w:r>
          </w:hyperlink>
        </w:p>
        <w:p w14:paraId="1839127E" w14:textId="463D3E74" w:rsidR="00437ECE" w:rsidRDefault="00437ECE">
          <w:pPr>
            <w:pStyle w:val="TOC1"/>
            <w:tabs>
              <w:tab w:val="clear" w:pos="9360"/>
              <w:tab w:val="right" w:leader="dot" w:pos="9350"/>
            </w:tabs>
            <w:rPr>
              <w:rFonts w:asciiTheme="minorHAnsi" w:eastAsiaTheme="minorEastAsia" w:hAnsiTheme="minorHAnsi" w:cstheme="minorBidi"/>
              <w:noProof/>
              <w:kern w:val="2"/>
              <w:sz w:val="24"/>
              <w:szCs w:val="24"/>
              <w14:ligatures w14:val="standardContextual"/>
            </w:rPr>
          </w:pPr>
          <w:hyperlink w:anchor="_Toc193370252" w:history="1">
            <w:r w:rsidRPr="003210EF">
              <w:rPr>
                <w:rStyle w:val="Hyperlink"/>
                <w:rFonts w:cstheme="majorHAnsi"/>
                <w:noProof/>
              </w:rPr>
              <w:t>Item 15 – Custody</w:t>
            </w:r>
            <w:r>
              <w:rPr>
                <w:noProof/>
                <w:webHidden/>
              </w:rPr>
              <w:tab/>
            </w:r>
            <w:r>
              <w:rPr>
                <w:noProof/>
                <w:webHidden/>
              </w:rPr>
              <w:fldChar w:fldCharType="begin"/>
            </w:r>
            <w:r>
              <w:rPr>
                <w:noProof/>
                <w:webHidden/>
              </w:rPr>
              <w:instrText xml:space="preserve"> PAGEREF _Toc193370252 \h </w:instrText>
            </w:r>
            <w:r>
              <w:rPr>
                <w:noProof/>
                <w:webHidden/>
              </w:rPr>
            </w:r>
            <w:r>
              <w:rPr>
                <w:noProof/>
                <w:webHidden/>
              </w:rPr>
              <w:fldChar w:fldCharType="separate"/>
            </w:r>
            <w:r w:rsidR="007E24CF">
              <w:rPr>
                <w:noProof/>
                <w:webHidden/>
              </w:rPr>
              <w:t>12</w:t>
            </w:r>
            <w:r>
              <w:rPr>
                <w:noProof/>
                <w:webHidden/>
              </w:rPr>
              <w:fldChar w:fldCharType="end"/>
            </w:r>
          </w:hyperlink>
        </w:p>
        <w:p w14:paraId="608722EB" w14:textId="3E1B8200" w:rsidR="00437ECE" w:rsidRDefault="00437ECE">
          <w:pPr>
            <w:pStyle w:val="TOC1"/>
            <w:tabs>
              <w:tab w:val="clear" w:pos="9360"/>
              <w:tab w:val="right" w:leader="dot" w:pos="9350"/>
            </w:tabs>
            <w:rPr>
              <w:rFonts w:asciiTheme="minorHAnsi" w:eastAsiaTheme="minorEastAsia" w:hAnsiTheme="minorHAnsi" w:cstheme="minorBidi"/>
              <w:noProof/>
              <w:kern w:val="2"/>
              <w:sz w:val="24"/>
              <w:szCs w:val="24"/>
              <w14:ligatures w14:val="standardContextual"/>
            </w:rPr>
          </w:pPr>
          <w:hyperlink w:anchor="_Toc193370253" w:history="1">
            <w:r w:rsidRPr="003210EF">
              <w:rPr>
                <w:rStyle w:val="Hyperlink"/>
                <w:rFonts w:cstheme="majorHAnsi"/>
                <w:noProof/>
              </w:rPr>
              <w:t>Item 16 – Investment Discretion</w:t>
            </w:r>
            <w:r>
              <w:rPr>
                <w:noProof/>
                <w:webHidden/>
              </w:rPr>
              <w:tab/>
            </w:r>
            <w:r>
              <w:rPr>
                <w:noProof/>
                <w:webHidden/>
              </w:rPr>
              <w:fldChar w:fldCharType="begin"/>
            </w:r>
            <w:r>
              <w:rPr>
                <w:noProof/>
                <w:webHidden/>
              </w:rPr>
              <w:instrText xml:space="preserve"> PAGEREF _Toc193370253 \h </w:instrText>
            </w:r>
            <w:r>
              <w:rPr>
                <w:noProof/>
                <w:webHidden/>
              </w:rPr>
            </w:r>
            <w:r>
              <w:rPr>
                <w:noProof/>
                <w:webHidden/>
              </w:rPr>
              <w:fldChar w:fldCharType="separate"/>
            </w:r>
            <w:r w:rsidR="007E24CF">
              <w:rPr>
                <w:noProof/>
                <w:webHidden/>
              </w:rPr>
              <w:t>13</w:t>
            </w:r>
            <w:r>
              <w:rPr>
                <w:noProof/>
                <w:webHidden/>
              </w:rPr>
              <w:fldChar w:fldCharType="end"/>
            </w:r>
          </w:hyperlink>
        </w:p>
        <w:p w14:paraId="3B538596" w14:textId="46472227" w:rsidR="00437ECE" w:rsidRDefault="00437ECE">
          <w:pPr>
            <w:pStyle w:val="TOC1"/>
            <w:tabs>
              <w:tab w:val="clear" w:pos="9360"/>
              <w:tab w:val="right" w:leader="dot" w:pos="9350"/>
            </w:tabs>
            <w:rPr>
              <w:rFonts w:asciiTheme="minorHAnsi" w:eastAsiaTheme="minorEastAsia" w:hAnsiTheme="minorHAnsi" w:cstheme="minorBidi"/>
              <w:noProof/>
              <w:kern w:val="2"/>
              <w:sz w:val="24"/>
              <w:szCs w:val="24"/>
              <w14:ligatures w14:val="standardContextual"/>
            </w:rPr>
          </w:pPr>
          <w:hyperlink w:anchor="_Toc193370254" w:history="1">
            <w:r w:rsidRPr="003210EF">
              <w:rPr>
                <w:rStyle w:val="Hyperlink"/>
                <w:rFonts w:cstheme="majorHAnsi"/>
                <w:noProof/>
              </w:rPr>
              <w:t>Item 17 – Voting Client Securities</w:t>
            </w:r>
            <w:r>
              <w:rPr>
                <w:noProof/>
                <w:webHidden/>
              </w:rPr>
              <w:tab/>
            </w:r>
            <w:r>
              <w:rPr>
                <w:noProof/>
                <w:webHidden/>
              </w:rPr>
              <w:fldChar w:fldCharType="begin"/>
            </w:r>
            <w:r>
              <w:rPr>
                <w:noProof/>
                <w:webHidden/>
              </w:rPr>
              <w:instrText xml:space="preserve"> PAGEREF _Toc193370254 \h </w:instrText>
            </w:r>
            <w:r>
              <w:rPr>
                <w:noProof/>
                <w:webHidden/>
              </w:rPr>
            </w:r>
            <w:r>
              <w:rPr>
                <w:noProof/>
                <w:webHidden/>
              </w:rPr>
              <w:fldChar w:fldCharType="separate"/>
            </w:r>
            <w:r w:rsidR="007E24CF">
              <w:rPr>
                <w:noProof/>
                <w:webHidden/>
              </w:rPr>
              <w:t>13</w:t>
            </w:r>
            <w:r>
              <w:rPr>
                <w:noProof/>
                <w:webHidden/>
              </w:rPr>
              <w:fldChar w:fldCharType="end"/>
            </w:r>
          </w:hyperlink>
        </w:p>
        <w:p w14:paraId="0E389AC5" w14:textId="4621FABC" w:rsidR="00437ECE" w:rsidRDefault="00437ECE">
          <w:pPr>
            <w:pStyle w:val="TOC1"/>
            <w:tabs>
              <w:tab w:val="clear" w:pos="9360"/>
              <w:tab w:val="right" w:leader="dot" w:pos="9350"/>
            </w:tabs>
            <w:rPr>
              <w:rFonts w:asciiTheme="minorHAnsi" w:eastAsiaTheme="minorEastAsia" w:hAnsiTheme="minorHAnsi" w:cstheme="minorBidi"/>
              <w:noProof/>
              <w:kern w:val="2"/>
              <w:sz w:val="24"/>
              <w:szCs w:val="24"/>
              <w14:ligatures w14:val="standardContextual"/>
            </w:rPr>
          </w:pPr>
          <w:hyperlink w:anchor="_Toc193370255" w:history="1">
            <w:r w:rsidRPr="003210EF">
              <w:rPr>
                <w:rStyle w:val="Hyperlink"/>
                <w:rFonts w:cstheme="majorHAnsi"/>
                <w:noProof/>
              </w:rPr>
              <w:t>Item 18 – Financial Information</w:t>
            </w:r>
            <w:r>
              <w:rPr>
                <w:noProof/>
                <w:webHidden/>
              </w:rPr>
              <w:tab/>
            </w:r>
            <w:r>
              <w:rPr>
                <w:noProof/>
                <w:webHidden/>
              </w:rPr>
              <w:fldChar w:fldCharType="begin"/>
            </w:r>
            <w:r>
              <w:rPr>
                <w:noProof/>
                <w:webHidden/>
              </w:rPr>
              <w:instrText xml:space="preserve"> PAGEREF _Toc193370255 \h </w:instrText>
            </w:r>
            <w:r>
              <w:rPr>
                <w:noProof/>
                <w:webHidden/>
              </w:rPr>
            </w:r>
            <w:r>
              <w:rPr>
                <w:noProof/>
                <w:webHidden/>
              </w:rPr>
              <w:fldChar w:fldCharType="separate"/>
            </w:r>
            <w:r w:rsidR="007E24CF">
              <w:rPr>
                <w:noProof/>
                <w:webHidden/>
              </w:rPr>
              <w:t>13</w:t>
            </w:r>
            <w:r>
              <w:rPr>
                <w:noProof/>
                <w:webHidden/>
              </w:rPr>
              <w:fldChar w:fldCharType="end"/>
            </w:r>
          </w:hyperlink>
        </w:p>
        <w:p w14:paraId="74D69A9F" w14:textId="77777777" w:rsidR="00FA76BF" w:rsidRDefault="00FA76BF" w:rsidP="00D804F8">
          <w:pPr>
            <w:tabs>
              <w:tab w:val="right" w:leader="dot" w:pos="9360"/>
            </w:tabs>
          </w:pPr>
          <w:r>
            <w:rPr>
              <w:b/>
              <w:bCs/>
              <w:noProof/>
            </w:rPr>
            <w:fldChar w:fldCharType="end"/>
          </w:r>
        </w:p>
      </w:sdtContent>
    </w:sdt>
    <w:p w14:paraId="67F6AC69" w14:textId="77777777" w:rsidR="00FA76BF" w:rsidRDefault="00FA76BF" w:rsidP="00D15F5E">
      <w:pPr>
        <w:rPr>
          <w:rFonts w:asciiTheme="minorHAnsi" w:eastAsiaTheme="majorEastAsia" w:hAnsiTheme="minorHAnsi"/>
          <w:color w:val="FFFFFF" w:themeColor="background1"/>
          <w:sz w:val="24"/>
          <w:szCs w:val="28"/>
        </w:rPr>
      </w:pPr>
    </w:p>
    <w:p w14:paraId="7D4132A6" w14:textId="77777777" w:rsidR="00FA76BF" w:rsidRDefault="00FA76BF" w:rsidP="00D15F5E">
      <w:pPr>
        <w:rPr>
          <w:rFonts w:asciiTheme="minorHAnsi" w:eastAsiaTheme="majorEastAsia" w:hAnsiTheme="minorHAnsi"/>
          <w:color w:val="FFFFFF" w:themeColor="background1"/>
          <w:sz w:val="24"/>
          <w:szCs w:val="28"/>
        </w:rPr>
      </w:pPr>
    </w:p>
    <w:p w14:paraId="494109D5" w14:textId="77777777" w:rsidR="00A10217" w:rsidRPr="00653C76" w:rsidRDefault="00A10217" w:rsidP="00D15F5E">
      <w:pPr>
        <w:pStyle w:val="TOC3"/>
        <w:spacing w:line="240" w:lineRule="auto"/>
        <w:ind w:left="216"/>
        <w:rPr>
          <w:rFonts w:asciiTheme="minorHAnsi" w:hAnsiTheme="minorHAnsi"/>
          <w:sz w:val="24"/>
          <w:szCs w:val="24"/>
        </w:rPr>
      </w:pPr>
    </w:p>
    <w:p w14:paraId="5F231036" w14:textId="77777777" w:rsidR="00A10217" w:rsidRPr="00653C76" w:rsidRDefault="00A10217" w:rsidP="00D15F5E">
      <w:pPr>
        <w:spacing w:after="100"/>
        <w:jc w:val="both"/>
        <w:rPr>
          <w:rFonts w:asciiTheme="minorHAnsi" w:hAnsiTheme="minorHAnsi"/>
          <w:b/>
          <w:sz w:val="24"/>
          <w:szCs w:val="24"/>
        </w:rPr>
      </w:pPr>
    </w:p>
    <w:p w14:paraId="5F31CDAB" w14:textId="77777777" w:rsidR="00A10217" w:rsidRPr="00653C76" w:rsidRDefault="00A10217" w:rsidP="00D15F5E">
      <w:pPr>
        <w:rPr>
          <w:rFonts w:asciiTheme="minorHAnsi" w:hAnsiTheme="minorHAnsi"/>
        </w:rPr>
      </w:pPr>
    </w:p>
    <w:p w14:paraId="14AC0219" w14:textId="77777777" w:rsidR="00A10217" w:rsidRPr="00653C76" w:rsidRDefault="00A10217" w:rsidP="00D15F5E">
      <w:pPr>
        <w:rPr>
          <w:rFonts w:asciiTheme="minorHAnsi" w:hAnsiTheme="minorHAnsi"/>
          <w:sz w:val="24"/>
          <w:szCs w:val="24"/>
        </w:rPr>
      </w:pPr>
    </w:p>
    <w:p w14:paraId="25D93EEB" w14:textId="77777777" w:rsidR="00A10217" w:rsidRPr="00653C76" w:rsidRDefault="00A10217" w:rsidP="00D15F5E">
      <w:pPr>
        <w:rPr>
          <w:rFonts w:asciiTheme="minorHAnsi" w:hAnsiTheme="minorHAnsi"/>
          <w:sz w:val="24"/>
          <w:szCs w:val="24"/>
        </w:rPr>
      </w:pPr>
    </w:p>
    <w:p w14:paraId="1A4F7BF0" w14:textId="77777777" w:rsidR="00A10217" w:rsidRPr="00653C76" w:rsidRDefault="00A10217" w:rsidP="00D15F5E">
      <w:pPr>
        <w:rPr>
          <w:rFonts w:asciiTheme="minorHAnsi" w:hAnsiTheme="minorHAnsi"/>
          <w:sz w:val="24"/>
          <w:szCs w:val="24"/>
        </w:rPr>
      </w:pPr>
    </w:p>
    <w:p w14:paraId="7652735C" w14:textId="77777777" w:rsidR="00A10217" w:rsidRPr="00653C76" w:rsidRDefault="00A10217" w:rsidP="00D15F5E">
      <w:pPr>
        <w:rPr>
          <w:rFonts w:asciiTheme="minorHAnsi" w:hAnsiTheme="minorHAnsi"/>
          <w:sz w:val="24"/>
          <w:szCs w:val="24"/>
        </w:rPr>
      </w:pPr>
    </w:p>
    <w:p w14:paraId="54209412" w14:textId="77777777" w:rsidR="00A10217" w:rsidRPr="00653C76" w:rsidRDefault="00A10217" w:rsidP="00D15F5E">
      <w:pPr>
        <w:rPr>
          <w:rFonts w:asciiTheme="minorHAnsi" w:hAnsiTheme="minorHAnsi"/>
          <w:sz w:val="24"/>
          <w:szCs w:val="24"/>
        </w:rPr>
      </w:pPr>
    </w:p>
    <w:p w14:paraId="00DD55ED" w14:textId="77777777" w:rsidR="00A10217" w:rsidRPr="00653C76" w:rsidRDefault="00A10217" w:rsidP="00D15F5E">
      <w:pPr>
        <w:rPr>
          <w:rFonts w:asciiTheme="minorHAnsi" w:hAnsiTheme="minorHAnsi"/>
          <w:sz w:val="24"/>
          <w:szCs w:val="24"/>
        </w:rPr>
      </w:pPr>
    </w:p>
    <w:p w14:paraId="46362157" w14:textId="77777777" w:rsidR="0053262B" w:rsidRPr="00653C76" w:rsidRDefault="0053262B" w:rsidP="00D15F5E">
      <w:pPr>
        <w:rPr>
          <w:rFonts w:asciiTheme="minorHAnsi" w:hAnsiTheme="minorHAnsi"/>
          <w:sz w:val="24"/>
          <w:szCs w:val="24"/>
        </w:rPr>
      </w:pPr>
    </w:p>
    <w:p w14:paraId="25A9E1F2" w14:textId="77777777" w:rsidR="00A10217" w:rsidRPr="00653C76" w:rsidRDefault="00A10217" w:rsidP="00D15F5E">
      <w:pPr>
        <w:rPr>
          <w:rFonts w:asciiTheme="minorHAnsi" w:hAnsiTheme="minorHAnsi"/>
          <w:sz w:val="24"/>
          <w:szCs w:val="24"/>
        </w:rPr>
      </w:pPr>
    </w:p>
    <w:p w14:paraId="2DBF37AD" w14:textId="77777777" w:rsidR="00931CE1" w:rsidRPr="00653C76" w:rsidRDefault="00931CE1" w:rsidP="00D15F5E">
      <w:pPr>
        <w:rPr>
          <w:rFonts w:asciiTheme="minorHAnsi" w:hAnsiTheme="minorHAnsi"/>
          <w:sz w:val="24"/>
          <w:szCs w:val="24"/>
        </w:rPr>
      </w:pPr>
    </w:p>
    <w:p w14:paraId="1BC7A43E" w14:textId="77777777" w:rsidR="00271365" w:rsidRPr="00191618" w:rsidRDefault="00271365" w:rsidP="001611D3">
      <w:pPr>
        <w:pStyle w:val="Heading1"/>
        <w:spacing w:before="0" w:after="120"/>
        <w:rPr>
          <w:rFonts w:asciiTheme="majorHAnsi" w:hAnsiTheme="majorHAnsi" w:cstheme="majorHAnsi"/>
        </w:rPr>
      </w:pPr>
      <w:bookmarkStart w:id="3" w:name="_Toc193370241"/>
      <w:r w:rsidRPr="00191618">
        <w:rPr>
          <w:rFonts w:asciiTheme="majorHAnsi" w:hAnsiTheme="majorHAnsi" w:cstheme="majorHAnsi"/>
        </w:rPr>
        <w:lastRenderedPageBreak/>
        <w:t>Item 4 – Advisory Business</w:t>
      </w:r>
      <w:bookmarkEnd w:id="3"/>
    </w:p>
    <w:p w14:paraId="54F4A16F" w14:textId="77777777" w:rsidR="00A10217" w:rsidRPr="00545871" w:rsidRDefault="00A10217" w:rsidP="00D15F5E">
      <w:pPr>
        <w:spacing w:after="120"/>
        <w:rPr>
          <w:rFonts w:asciiTheme="minorHAnsi" w:hAnsiTheme="minorHAnsi"/>
          <w:smallCaps/>
          <w:sz w:val="24"/>
          <w:szCs w:val="24"/>
        </w:rPr>
      </w:pPr>
      <w:r w:rsidRPr="00545871">
        <w:rPr>
          <w:rFonts w:asciiTheme="minorHAnsi" w:hAnsiTheme="minorHAnsi"/>
          <w:smallCaps/>
          <w:sz w:val="24"/>
          <w:szCs w:val="24"/>
          <w:u w:val="single"/>
        </w:rPr>
        <w:t>Ownership/Advisory History</w:t>
      </w:r>
    </w:p>
    <w:p w14:paraId="47E20108" w14:textId="1EE33A06" w:rsidR="00A95C3E" w:rsidRPr="00545871" w:rsidRDefault="00470205" w:rsidP="00D15F5E">
      <w:pPr>
        <w:pStyle w:val="Header"/>
        <w:tabs>
          <w:tab w:val="clear" w:pos="4320"/>
          <w:tab w:val="clear" w:pos="8640"/>
          <w:tab w:val="left" w:pos="2410"/>
        </w:tabs>
        <w:spacing w:after="120"/>
        <w:jc w:val="both"/>
        <w:rPr>
          <w:rFonts w:asciiTheme="minorHAnsi" w:eastAsia="Arial" w:hAnsiTheme="minorHAnsi"/>
          <w:sz w:val="24"/>
          <w:szCs w:val="24"/>
        </w:rPr>
      </w:pPr>
      <w:r>
        <w:rPr>
          <w:rFonts w:asciiTheme="minorHAnsi" w:hAnsiTheme="minorHAnsi"/>
          <w:sz w:val="24"/>
          <w:szCs w:val="24"/>
        </w:rPr>
        <w:t>TFP</w:t>
      </w:r>
      <w:r w:rsidR="00E21B18">
        <w:rPr>
          <w:rFonts w:asciiTheme="minorHAnsi" w:hAnsiTheme="minorHAnsi"/>
          <w:sz w:val="24"/>
          <w:szCs w:val="24"/>
        </w:rPr>
        <w:t xml:space="preserve"> Management, LLC</w:t>
      </w:r>
      <w:r w:rsidR="00931834" w:rsidRPr="00545871">
        <w:rPr>
          <w:rFonts w:asciiTheme="minorHAnsi" w:hAnsiTheme="minorHAnsi"/>
          <w:sz w:val="24"/>
          <w:szCs w:val="24"/>
        </w:rPr>
        <w:t xml:space="preserve"> </w:t>
      </w:r>
      <w:r w:rsidR="00A95C3E">
        <w:rPr>
          <w:rFonts w:asciiTheme="minorHAnsi" w:hAnsiTheme="minorHAnsi"/>
          <w:sz w:val="24"/>
          <w:szCs w:val="24"/>
        </w:rPr>
        <w:t xml:space="preserve">(“We”) </w:t>
      </w:r>
      <w:r w:rsidR="00A10217" w:rsidRPr="001611D3">
        <w:rPr>
          <w:rFonts w:asciiTheme="minorHAnsi" w:hAnsiTheme="minorHAnsi"/>
          <w:sz w:val="24"/>
          <w:szCs w:val="24"/>
        </w:rPr>
        <w:t xml:space="preserve">was </w:t>
      </w:r>
      <w:r w:rsidR="00E21B18">
        <w:rPr>
          <w:rFonts w:asciiTheme="minorHAnsi" w:hAnsiTheme="minorHAnsi"/>
          <w:sz w:val="24"/>
          <w:szCs w:val="24"/>
        </w:rPr>
        <w:t>formed as an Iowa Limited Liability Company</w:t>
      </w:r>
      <w:r w:rsidR="002F6AD5" w:rsidRPr="001611D3">
        <w:rPr>
          <w:rFonts w:asciiTheme="minorHAnsi" w:hAnsiTheme="minorHAnsi"/>
          <w:sz w:val="24"/>
          <w:szCs w:val="24"/>
        </w:rPr>
        <w:t xml:space="preserve"> in </w:t>
      </w:r>
      <w:r w:rsidR="00E21B18">
        <w:rPr>
          <w:rFonts w:asciiTheme="minorHAnsi" w:hAnsiTheme="minorHAnsi"/>
          <w:sz w:val="24"/>
          <w:szCs w:val="24"/>
        </w:rPr>
        <w:t xml:space="preserve">May 2009. </w:t>
      </w:r>
      <w:r w:rsidR="007811B4">
        <w:rPr>
          <w:rFonts w:asciiTheme="minorHAnsi" w:hAnsiTheme="minorHAnsi"/>
          <w:sz w:val="24"/>
          <w:szCs w:val="24"/>
        </w:rPr>
        <w:t xml:space="preserve">We </w:t>
      </w:r>
      <w:r w:rsidR="00E21B18">
        <w:rPr>
          <w:rFonts w:asciiTheme="minorHAnsi" w:hAnsiTheme="minorHAnsi"/>
          <w:sz w:val="24"/>
          <w:szCs w:val="24"/>
        </w:rPr>
        <w:t>became</w:t>
      </w:r>
      <w:r w:rsidR="002467DA">
        <w:rPr>
          <w:rFonts w:asciiTheme="minorHAnsi" w:hAnsiTheme="minorHAnsi"/>
          <w:sz w:val="24"/>
          <w:szCs w:val="24"/>
        </w:rPr>
        <w:t xml:space="preserve"> </w:t>
      </w:r>
      <w:r w:rsidR="00EF775C">
        <w:rPr>
          <w:rFonts w:asciiTheme="minorHAnsi" w:hAnsiTheme="minorHAnsi"/>
          <w:sz w:val="24"/>
          <w:szCs w:val="24"/>
        </w:rPr>
        <w:t xml:space="preserve">registered as an investment adviser </w:t>
      </w:r>
      <w:r w:rsidR="00E21B18">
        <w:rPr>
          <w:rFonts w:asciiTheme="minorHAnsi" w:hAnsiTheme="minorHAnsi"/>
          <w:sz w:val="24"/>
          <w:szCs w:val="24"/>
        </w:rPr>
        <w:t>with the Securities and Exchange Commissions in April 2021</w:t>
      </w:r>
      <w:r w:rsidR="009D75D6" w:rsidRPr="00545871">
        <w:rPr>
          <w:rFonts w:asciiTheme="minorHAnsi" w:hAnsiTheme="minorHAnsi"/>
          <w:sz w:val="24"/>
          <w:szCs w:val="24"/>
        </w:rPr>
        <w:t>.</w:t>
      </w:r>
      <w:r w:rsidR="007A142A">
        <w:rPr>
          <w:rFonts w:asciiTheme="minorHAnsi" w:hAnsiTheme="minorHAnsi"/>
          <w:sz w:val="24"/>
          <w:szCs w:val="24"/>
        </w:rPr>
        <w:t xml:space="preserve"> </w:t>
      </w:r>
      <w:r w:rsidR="00271365" w:rsidRPr="00545871">
        <w:rPr>
          <w:rFonts w:asciiTheme="minorHAnsi" w:hAnsiTheme="minorHAnsi"/>
          <w:sz w:val="24"/>
          <w:szCs w:val="24"/>
        </w:rPr>
        <w:t xml:space="preserve"> </w:t>
      </w:r>
      <w:r w:rsidR="00E21B18">
        <w:rPr>
          <w:rFonts w:asciiTheme="minorHAnsi" w:hAnsiTheme="minorHAnsi"/>
          <w:sz w:val="24"/>
          <w:szCs w:val="24"/>
        </w:rPr>
        <w:t>Our managing members are David Elizondo and Drue Kampmann with David Elizondo as the Chief Compliance Officer</w:t>
      </w:r>
      <w:r w:rsidR="00EF775C">
        <w:rPr>
          <w:rFonts w:asciiTheme="minorHAnsi" w:hAnsiTheme="minorHAnsi"/>
          <w:sz w:val="24"/>
          <w:szCs w:val="24"/>
        </w:rPr>
        <w:t xml:space="preserve">.  </w:t>
      </w:r>
      <w:r w:rsidR="00A95C3E" w:rsidRPr="00A95C3E">
        <w:rPr>
          <w:rFonts w:asciiTheme="minorHAnsi" w:hAnsiTheme="minorHAnsi" w:cstheme="minorHAnsi"/>
          <w:sz w:val="24"/>
          <w:szCs w:val="24"/>
        </w:rPr>
        <w:t xml:space="preserve">Additional information about </w:t>
      </w:r>
      <w:r w:rsidR="00E21B18">
        <w:rPr>
          <w:rFonts w:asciiTheme="minorHAnsi" w:hAnsiTheme="minorHAnsi" w:cstheme="minorHAnsi"/>
          <w:sz w:val="24"/>
          <w:szCs w:val="24"/>
        </w:rPr>
        <w:t xml:space="preserve">Mr. Elizondo and Mr. Kampmann </w:t>
      </w:r>
      <w:r w:rsidR="00A95C3E" w:rsidRPr="00A95C3E">
        <w:rPr>
          <w:rFonts w:asciiTheme="minorHAnsi" w:hAnsiTheme="minorHAnsi" w:cstheme="minorHAnsi"/>
          <w:sz w:val="24"/>
          <w:szCs w:val="24"/>
        </w:rPr>
        <w:t xml:space="preserve">can be found under Item 19 along with </w:t>
      </w:r>
      <w:r w:rsidR="004F5FD8">
        <w:rPr>
          <w:rFonts w:asciiTheme="minorHAnsi" w:hAnsiTheme="minorHAnsi" w:cstheme="minorHAnsi"/>
          <w:sz w:val="24"/>
          <w:szCs w:val="24"/>
        </w:rPr>
        <w:t>their</w:t>
      </w:r>
      <w:r w:rsidR="00A95C3E" w:rsidRPr="00A95C3E">
        <w:rPr>
          <w:rFonts w:asciiTheme="minorHAnsi" w:hAnsiTheme="minorHAnsi" w:cstheme="minorHAnsi"/>
          <w:sz w:val="24"/>
          <w:szCs w:val="24"/>
        </w:rPr>
        <w:t xml:space="preserve"> </w:t>
      </w:r>
      <w:r w:rsidR="00A95C3E">
        <w:rPr>
          <w:rFonts w:asciiTheme="minorHAnsi" w:hAnsiTheme="minorHAnsi" w:cstheme="minorHAnsi"/>
          <w:sz w:val="24"/>
          <w:szCs w:val="24"/>
        </w:rPr>
        <w:t xml:space="preserve">attached </w:t>
      </w:r>
      <w:r w:rsidR="004F5FD8">
        <w:rPr>
          <w:rFonts w:asciiTheme="minorHAnsi" w:hAnsiTheme="minorHAnsi" w:cstheme="minorHAnsi"/>
          <w:sz w:val="24"/>
          <w:szCs w:val="24"/>
        </w:rPr>
        <w:t>brochure s</w:t>
      </w:r>
      <w:r w:rsidR="00A95C3E" w:rsidRPr="00A95C3E">
        <w:rPr>
          <w:rFonts w:asciiTheme="minorHAnsi" w:hAnsiTheme="minorHAnsi" w:cstheme="minorHAnsi"/>
          <w:sz w:val="24"/>
          <w:szCs w:val="24"/>
        </w:rPr>
        <w:t>upplement</w:t>
      </w:r>
      <w:r w:rsidR="004F5FD8">
        <w:rPr>
          <w:rFonts w:asciiTheme="minorHAnsi" w:hAnsiTheme="minorHAnsi" w:cstheme="minorHAnsi"/>
          <w:sz w:val="24"/>
          <w:szCs w:val="24"/>
        </w:rPr>
        <w:t>s</w:t>
      </w:r>
      <w:r w:rsidR="00A95C3E" w:rsidRPr="00A95C3E">
        <w:rPr>
          <w:rFonts w:asciiTheme="minorHAnsi" w:hAnsiTheme="minorHAnsi" w:cstheme="minorHAnsi"/>
          <w:sz w:val="24"/>
          <w:szCs w:val="24"/>
        </w:rPr>
        <w:t>.</w:t>
      </w:r>
      <w:r w:rsidR="00A95C3E" w:rsidRPr="000D0A3B">
        <w:rPr>
          <w:sz w:val="24"/>
          <w:szCs w:val="24"/>
        </w:rPr>
        <w:t xml:space="preserve">     </w:t>
      </w:r>
    </w:p>
    <w:p w14:paraId="444E645A" w14:textId="77777777" w:rsidR="00000B73" w:rsidRDefault="00A10217" w:rsidP="00D15F5E">
      <w:pPr>
        <w:spacing w:after="120"/>
        <w:rPr>
          <w:rFonts w:asciiTheme="minorHAnsi" w:hAnsiTheme="minorHAnsi"/>
          <w:smallCaps/>
          <w:sz w:val="24"/>
          <w:szCs w:val="24"/>
          <w:u w:val="single"/>
        </w:rPr>
      </w:pPr>
      <w:r w:rsidRPr="00545871">
        <w:rPr>
          <w:rFonts w:asciiTheme="minorHAnsi" w:hAnsiTheme="minorHAnsi"/>
          <w:smallCaps/>
          <w:sz w:val="24"/>
          <w:szCs w:val="24"/>
          <w:u w:val="single"/>
        </w:rPr>
        <w:t>Advisory Services Offered</w:t>
      </w:r>
    </w:p>
    <w:p w14:paraId="03737303" w14:textId="11567193" w:rsidR="00E21B18" w:rsidRDefault="00BA55F0" w:rsidP="007A142A">
      <w:pPr>
        <w:spacing w:after="120"/>
        <w:ind w:firstLine="720"/>
        <w:rPr>
          <w:rFonts w:asciiTheme="minorHAnsi" w:hAnsiTheme="minorHAnsi"/>
          <w:smallCaps/>
          <w:sz w:val="24"/>
          <w:szCs w:val="24"/>
          <w:u w:val="single"/>
        </w:rPr>
      </w:pPr>
      <w:r>
        <w:rPr>
          <w:rFonts w:asciiTheme="minorHAnsi" w:hAnsiTheme="minorHAnsi"/>
          <w:smallCaps/>
          <w:sz w:val="24"/>
          <w:szCs w:val="24"/>
          <w:u w:val="single"/>
        </w:rPr>
        <w:t>Investment Management</w:t>
      </w:r>
      <w:r w:rsidR="00815807">
        <w:rPr>
          <w:rFonts w:asciiTheme="minorHAnsi" w:hAnsiTheme="minorHAnsi"/>
          <w:smallCaps/>
          <w:sz w:val="24"/>
          <w:szCs w:val="24"/>
          <w:u w:val="single"/>
        </w:rPr>
        <w:t xml:space="preserve"> </w:t>
      </w:r>
    </w:p>
    <w:p w14:paraId="6CE97083" w14:textId="0D658A24" w:rsidR="00896B60" w:rsidRPr="00172B63" w:rsidRDefault="00393D8B" w:rsidP="00E21B18">
      <w:pPr>
        <w:spacing w:after="120"/>
        <w:jc w:val="both"/>
        <w:rPr>
          <w:rFonts w:asciiTheme="minorHAnsi" w:hAnsiTheme="minorHAnsi"/>
          <w:sz w:val="24"/>
          <w:szCs w:val="24"/>
        </w:rPr>
      </w:pPr>
      <w:r>
        <w:rPr>
          <w:rFonts w:asciiTheme="minorHAnsi" w:hAnsiTheme="minorHAnsi"/>
          <w:sz w:val="24"/>
          <w:szCs w:val="24"/>
        </w:rPr>
        <w:t>Our investment management services include</w:t>
      </w:r>
      <w:r w:rsidR="001328A9">
        <w:rPr>
          <w:rFonts w:asciiTheme="minorHAnsi" w:hAnsiTheme="minorHAnsi"/>
          <w:sz w:val="24"/>
          <w:szCs w:val="24"/>
        </w:rPr>
        <w:t xml:space="preserve"> </w:t>
      </w:r>
      <w:r>
        <w:rPr>
          <w:rFonts w:asciiTheme="minorHAnsi" w:hAnsiTheme="minorHAnsi"/>
          <w:sz w:val="24"/>
          <w:szCs w:val="24"/>
        </w:rPr>
        <w:t xml:space="preserve">complimentary </w:t>
      </w:r>
      <w:r w:rsidR="001328A9">
        <w:rPr>
          <w:rFonts w:asciiTheme="minorHAnsi" w:hAnsiTheme="minorHAnsi"/>
          <w:sz w:val="24"/>
          <w:szCs w:val="24"/>
        </w:rPr>
        <w:t>financial planning</w:t>
      </w:r>
      <w:r w:rsidR="00986469">
        <w:rPr>
          <w:rFonts w:asciiTheme="minorHAnsi" w:hAnsiTheme="minorHAnsi"/>
          <w:sz w:val="24"/>
          <w:szCs w:val="24"/>
        </w:rPr>
        <w:t xml:space="preserve">.  </w:t>
      </w:r>
      <w:r>
        <w:rPr>
          <w:rFonts w:asciiTheme="minorHAnsi" w:hAnsiTheme="minorHAnsi"/>
          <w:sz w:val="24"/>
          <w:szCs w:val="24"/>
        </w:rPr>
        <w:t xml:space="preserve">Through a series of personal interviews, we will collect pertinent data, identify goals, objectives, financial problems, and potential solutions.  With this information we tailor the advice we give to you.  </w:t>
      </w:r>
      <w:r w:rsidR="00986469">
        <w:rPr>
          <w:rFonts w:asciiTheme="minorHAnsi" w:hAnsiTheme="minorHAnsi"/>
          <w:sz w:val="24"/>
          <w:szCs w:val="24"/>
        </w:rPr>
        <w:t>Our advice may cover any of the following topics: net worth statement; cash flow analysis; tax analysis; insurance and lo</w:t>
      </w:r>
      <w:r w:rsidR="00D136F3">
        <w:rPr>
          <w:rFonts w:asciiTheme="minorHAnsi" w:hAnsiTheme="minorHAnsi"/>
          <w:sz w:val="24"/>
          <w:szCs w:val="24"/>
        </w:rPr>
        <w:t>ng</w:t>
      </w:r>
      <w:r w:rsidR="00986469">
        <w:rPr>
          <w:rFonts w:asciiTheme="minorHAnsi" w:hAnsiTheme="minorHAnsi"/>
          <w:sz w:val="24"/>
          <w:szCs w:val="24"/>
        </w:rPr>
        <w:t>-term care analysis;</w:t>
      </w:r>
      <w:r w:rsidR="00D136F3">
        <w:rPr>
          <w:rFonts w:asciiTheme="minorHAnsi" w:hAnsiTheme="minorHAnsi"/>
          <w:sz w:val="24"/>
          <w:szCs w:val="24"/>
        </w:rPr>
        <w:t xml:space="preserve"> tax planning; retirement projections; 401k review; other needs as identified during our meetings with you. Following our meetings and</w:t>
      </w:r>
      <w:r w:rsidR="00986469">
        <w:rPr>
          <w:rFonts w:asciiTheme="minorHAnsi" w:hAnsiTheme="minorHAnsi"/>
          <w:sz w:val="24"/>
          <w:szCs w:val="24"/>
        </w:rPr>
        <w:t xml:space="preserve"> </w:t>
      </w:r>
      <w:r w:rsidR="00D136F3">
        <w:rPr>
          <w:rFonts w:asciiTheme="minorHAnsi" w:hAnsiTheme="minorHAnsi"/>
          <w:sz w:val="24"/>
          <w:szCs w:val="24"/>
        </w:rPr>
        <w:t>o</w:t>
      </w:r>
      <w:r>
        <w:rPr>
          <w:rFonts w:asciiTheme="minorHAnsi" w:hAnsiTheme="minorHAnsi"/>
          <w:sz w:val="24"/>
          <w:szCs w:val="24"/>
        </w:rPr>
        <w:t xml:space="preserve">nce you are satisfied with our recommendations, </w:t>
      </w:r>
      <w:r w:rsidR="00986469">
        <w:rPr>
          <w:rFonts w:asciiTheme="minorHAnsi" w:hAnsiTheme="minorHAnsi"/>
          <w:sz w:val="24"/>
          <w:szCs w:val="24"/>
        </w:rPr>
        <w:t>we will enter into an agreement and begin</w:t>
      </w:r>
      <w:r>
        <w:rPr>
          <w:rFonts w:asciiTheme="minorHAnsi" w:hAnsiTheme="minorHAnsi"/>
          <w:sz w:val="24"/>
          <w:szCs w:val="24"/>
        </w:rPr>
        <w:t xml:space="preserve"> managing your account(s)</w:t>
      </w:r>
      <w:r w:rsidR="00986469">
        <w:rPr>
          <w:rFonts w:asciiTheme="minorHAnsi" w:hAnsiTheme="minorHAnsi"/>
          <w:sz w:val="24"/>
          <w:szCs w:val="24"/>
        </w:rPr>
        <w:t xml:space="preserve">.  </w:t>
      </w:r>
      <w:r w:rsidR="00D136F3">
        <w:rPr>
          <w:rFonts w:asciiTheme="minorHAnsi" w:hAnsiTheme="minorHAnsi"/>
          <w:sz w:val="24"/>
          <w:szCs w:val="24"/>
        </w:rPr>
        <w:t xml:space="preserve">We will create and manage your individualized portfolio by using our proprietary model portfolios or customized portfolios that meet your investment needs.  We will request discretionary authority from you in order to select the securities and execute transactions without prior permission from you.  We base our recommendation on a variety of factors including, but not limited to, performance risk, fees, tax efficiency or different investment strategies, as well as your input and preferences regarding the strategies.  </w:t>
      </w:r>
    </w:p>
    <w:p w14:paraId="1F5E2D5B" w14:textId="6E53C26E" w:rsidR="000A7A7E" w:rsidRDefault="00890E1D" w:rsidP="00CE6213">
      <w:pPr>
        <w:spacing w:after="120"/>
        <w:ind w:firstLine="720"/>
        <w:rPr>
          <w:rFonts w:asciiTheme="minorHAnsi" w:hAnsiTheme="minorHAnsi"/>
          <w:sz w:val="24"/>
          <w:szCs w:val="24"/>
        </w:rPr>
      </w:pPr>
      <w:r>
        <w:rPr>
          <w:rFonts w:asciiTheme="minorHAnsi" w:hAnsiTheme="minorHAnsi"/>
          <w:smallCaps/>
          <w:sz w:val="24"/>
          <w:szCs w:val="24"/>
          <w:u w:val="single"/>
        </w:rPr>
        <w:t xml:space="preserve">Use of </w:t>
      </w:r>
      <w:r w:rsidR="00CE6213">
        <w:rPr>
          <w:rFonts w:asciiTheme="minorHAnsi" w:hAnsiTheme="minorHAnsi"/>
          <w:smallCaps/>
          <w:sz w:val="24"/>
          <w:szCs w:val="24"/>
          <w:u w:val="single"/>
        </w:rPr>
        <w:t xml:space="preserve">Sub-Adviser Services </w:t>
      </w:r>
    </w:p>
    <w:p w14:paraId="56BE14D1" w14:textId="387252C8" w:rsidR="000A7A7E" w:rsidRDefault="000A7A7E" w:rsidP="00EB5684">
      <w:pPr>
        <w:spacing w:after="120"/>
        <w:jc w:val="both"/>
        <w:rPr>
          <w:rFonts w:asciiTheme="minorHAnsi" w:hAnsiTheme="minorHAnsi"/>
          <w:sz w:val="24"/>
          <w:szCs w:val="24"/>
        </w:rPr>
      </w:pPr>
      <w:r>
        <w:rPr>
          <w:rFonts w:asciiTheme="minorHAnsi" w:hAnsiTheme="minorHAnsi"/>
          <w:sz w:val="24"/>
          <w:szCs w:val="24"/>
        </w:rPr>
        <w:t xml:space="preserve">When deemed appropriate, we recommend the services of a sub-adviser to manage some or all of your assets on a discretionary basis.  In these situations, we provide consulting and advisory services in overseeing such sub-advisers.  We make recommendations regarding the use of a sub-adviser and their investment style based on, but not limited to, your financial needs, long-term goals, and investment objectives.  </w:t>
      </w:r>
    </w:p>
    <w:p w14:paraId="447E3E62" w14:textId="3E2D6D80" w:rsidR="000A7A7E" w:rsidRPr="008662DD" w:rsidRDefault="000A7A7E" w:rsidP="00EB5684">
      <w:pPr>
        <w:spacing w:after="120"/>
        <w:jc w:val="both"/>
        <w:rPr>
          <w:rFonts w:asciiTheme="minorHAnsi" w:hAnsiTheme="minorHAnsi"/>
          <w:sz w:val="24"/>
          <w:szCs w:val="24"/>
        </w:rPr>
      </w:pPr>
      <w:r>
        <w:rPr>
          <w:rFonts w:asciiTheme="minorHAnsi" w:hAnsiTheme="minorHAnsi"/>
          <w:sz w:val="24"/>
          <w:szCs w:val="24"/>
        </w:rPr>
        <w:t xml:space="preserve">The sub-adviser offers multiple investment strategies.  Once a sub-adviser is selected, we continue to monitor them to ensure that they adhere to the philosophy and investment style for which they were selected.  We will retain discretionary authority to hire and fire the sub-adviser and, when necessary, reallocate your assets to a new sub-adviser.  A complete description of the sub-adviser’s services and fees will be disclosed in the sub-adviser’s Form ADV Part 2A or equivalent brochure which will be provided to you.  </w:t>
      </w:r>
    </w:p>
    <w:p w14:paraId="0118289D" w14:textId="77777777" w:rsidR="00647881" w:rsidRPr="00EB5684" w:rsidRDefault="00647881" w:rsidP="00647881">
      <w:pPr>
        <w:spacing w:after="120" w:line="280" w:lineRule="atLeast"/>
        <w:ind w:firstLine="720"/>
        <w:jc w:val="both"/>
        <w:rPr>
          <w:rFonts w:asciiTheme="minorHAnsi" w:hAnsiTheme="minorHAnsi" w:cstheme="minorHAnsi"/>
          <w:smallCaps/>
          <w:sz w:val="24"/>
          <w:szCs w:val="24"/>
          <w:u w:val="single"/>
        </w:rPr>
      </w:pPr>
      <w:r w:rsidRPr="00EB5684">
        <w:rPr>
          <w:rFonts w:asciiTheme="minorHAnsi" w:hAnsiTheme="minorHAnsi" w:cstheme="minorHAnsi"/>
          <w:smallCaps/>
          <w:sz w:val="24"/>
          <w:szCs w:val="24"/>
          <w:u w:val="single"/>
        </w:rPr>
        <w:t xml:space="preserve">Retirement Plan Consulting </w:t>
      </w:r>
    </w:p>
    <w:p w14:paraId="16DACC1B" w14:textId="77777777" w:rsidR="00647881" w:rsidRDefault="00647881" w:rsidP="00647881">
      <w:pPr>
        <w:spacing w:after="120"/>
        <w:jc w:val="both"/>
        <w:rPr>
          <w:rFonts w:cstheme="minorHAnsi"/>
          <w:color w:val="000000"/>
          <w:sz w:val="24"/>
          <w:szCs w:val="24"/>
        </w:rPr>
      </w:pPr>
      <w:r w:rsidRPr="001C2538">
        <w:rPr>
          <w:rFonts w:cstheme="minorHAnsi"/>
          <w:sz w:val="24"/>
          <w:szCs w:val="24"/>
        </w:rPr>
        <w:t>For retirement plan accounts, we provide any of the following ERISA non-fiduciary services</w:t>
      </w:r>
      <w:r w:rsidRPr="001C2538">
        <w:rPr>
          <w:sz w:val="24"/>
          <w:szCs w:val="24"/>
        </w:rPr>
        <w:t xml:space="preserve">: Education Services to Plan Committee; Participant Education Services; Plan Search Support; Review of Fiduciary Liability Insurance Coverage; Monitoring of Qualified Fiduciary; or </w:t>
      </w:r>
      <w:r w:rsidRPr="001C2538">
        <w:rPr>
          <w:rFonts w:cstheme="minorHAnsi"/>
          <w:sz w:val="24"/>
          <w:szCs w:val="24"/>
        </w:rPr>
        <w:t xml:space="preserve">Participant Advice. </w:t>
      </w:r>
      <w:r w:rsidRPr="001C2538">
        <w:rPr>
          <w:rFonts w:cstheme="minorHAnsi"/>
          <w:color w:val="000000"/>
          <w:sz w:val="24"/>
          <w:szCs w:val="24"/>
        </w:rPr>
        <w:t>Please note that we do not provide ERISA Section 3(21) or 3(38) fiduciary services.</w:t>
      </w:r>
    </w:p>
    <w:p w14:paraId="62D4DCB5" w14:textId="77777777" w:rsidR="005052B6" w:rsidRPr="00044AE2" w:rsidRDefault="005052B6" w:rsidP="005052B6">
      <w:pPr>
        <w:spacing w:after="120"/>
        <w:rPr>
          <w:rFonts w:asciiTheme="minorHAnsi" w:hAnsiTheme="minorHAnsi"/>
          <w:smallCaps/>
          <w:sz w:val="24"/>
          <w:szCs w:val="24"/>
          <w:u w:val="single"/>
        </w:rPr>
      </w:pPr>
      <w:r w:rsidRPr="00044AE2">
        <w:rPr>
          <w:rFonts w:asciiTheme="minorHAnsi" w:hAnsiTheme="minorHAnsi"/>
          <w:smallCaps/>
          <w:sz w:val="24"/>
          <w:szCs w:val="24"/>
          <w:u w:val="single"/>
        </w:rPr>
        <w:lastRenderedPageBreak/>
        <w:t xml:space="preserve">Tailored Services </w:t>
      </w:r>
    </w:p>
    <w:p w14:paraId="1B23FA3D" w14:textId="77777777" w:rsidR="005067B5" w:rsidRPr="006B49A4" w:rsidRDefault="005067B5" w:rsidP="007811B4">
      <w:pPr>
        <w:spacing w:after="120" w:line="300" w:lineRule="atLeast"/>
        <w:jc w:val="both"/>
        <w:rPr>
          <w:rFonts w:asciiTheme="minorHAnsi" w:eastAsia="Arial" w:hAnsiTheme="minorHAnsi" w:cstheme="minorHAnsi"/>
          <w:spacing w:val="-1"/>
          <w:sz w:val="24"/>
          <w:szCs w:val="24"/>
        </w:rPr>
      </w:pPr>
      <w:r w:rsidRPr="00044AE2">
        <w:rPr>
          <w:rFonts w:asciiTheme="minorHAnsi" w:eastAsia="Arial" w:hAnsiTheme="minorHAnsi" w:cstheme="minorHAnsi"/>
          <w:spacing w:val="2"/>
          <w:sz w:val="24"/>
          <w:szCs w:val="24"/>
        </w:rPr>
        <w:t>T</w:t>
      </w:r>
      <w:r w:rsidRPr="00044AE2">
        <w:rPr>
          <w:rFonts w:asciiTheme="minorHAnsi" w:eastAsia="Arial" w:hAnsiTheme="minorHAnsi" w:cstheme="minorHAnsi"/>
          <w:spacing w:val="-1"/>
          <w:sz w:val="24"/>
          <w:szCs w:val="24"/>
        </w:rPr>
        <w:t>h</w:t>
      </w:r>
      <w:r w:rsidRPr="00044AE2">
        <w:rPr>
          <w:rFonts w:asciiTheme="minorHAnsi" w:eastAsia="Arial" w:hAnsiTheme="minorHAnsi" w:cstheme="minorHAnsi"/>
          <w:sz w:val="24"/>
          <w:szCs w:val="24"/>
        </w:rPr>
        <w:t>e</w:t>
      </w:r>
      <w:r w:rsidRPr="00044AE2">
        <w:rPr>
          <w:rFonts w:asciiTheme="minorHAnsi" w:eastAsia="Arial" w:hAnsiTheme="minorHAnsi" w:cstheme="minorHAnsi"/>
          <w:spacing w:val="1"/>
          <w:sz w:val="24"/>
          <w:szCs w:val="24"/>
        </w:rPr>
        <w:t xml:space="preserve"> </w:t>
      </w:r>
      <w:r w:rsidRPr="00044AE2">
        <w:rPr>
          <w:rFonts w:asciiTheme="minorHAnsi" w:eastAsia="Arial" w:hAnsiTheme="minorHAnsi" w:cstheme="minorHAnsi"/>
          <w:spacing w:val="-1"/>
          <w:sz w:val="24"/>
          <w:szCs w:val="24"/>
        </w:rPr>
        <w:t>g</w:t>
      </w:r>
      <w:r w:rsidRPr="00044AE2">
        <w:rPr>
          <w:rFonts w:asciiTheme="minorHAnsi" w:eastAsia="Arial" w:hAnsiTheme="minorHAnsi" w:cstheme="minorHAnsi"/>
          <w:spacing w:val="1"/>
          <w:sz w:val="24"/>
          <w:szCs w:val="24"/>
        </w:rPr>
        <w:t>oa</w:t>
      </w:r>
      <w:r w:rsidRPr="00044AE2">
        <w:rPr>
          <w:rFonts w:asciiTheme="minorHAnsi" w:eastAsia="Arial" w:hAnsiTheme="minorHAnsi" w:cstheme="minorHAnsi"/>
          <w:sz w:val="24"/>
          <w:szCs w:val="24"/>
        </w:rPr>
        <w:t xml:space="preserve">ls </w:t>
      </w:r>
      <w:r w:rsidRPr="00044AE2">
        <w:rPr>
          <w:rFonts w:asciiTheme="minorHAnsi" w:eastAsia="Arial" w:hAnsiTheme="minorHAnsi" w:cstheme="minorHAnsi"/>
          <w:spacing w:val="-1"/>
          <w:sz w:val="24"/>
          <w:szCs w:val="24"/>
        </w:rPr>
        <w:t>a</w:t>
      </w:r>
      <w:r w:rsidRPr="00044AE2">
        <w:rPr>
          <w:rFonts w:asciiTheme="minorHAnsi" w:eastAsia="Arial" w:hAnsiTheme="minorHAnsi" w:cstheme="minorHAnsi"/>
          <w:spacing w:val="1"/>
          <w:sz w:val="24"/>
          <w:szCs w:val="24"/>
        </w:rPr>
        <w:t>n</w:t>
      </w:r>
      <w:r w:rsidRPr="00044AE2">
        <w:rPr>
          <w:rFonts w:asciiTheme="minorHAnsi" w:eastAsia="Arial" w:hAnsiTheme="minorHAnsi" w:cstheme="minorHAnsi"/>
          <w:sz w:val="24"/>
          <w:szCs w:val="24"/>
        </w:rPr>
        <w:t>d</w:t>
      </w:r>
      <w:r w:rsidRPr="00044AE2">
        <w:rPr>
          <w:rFonts w:asciiTheme="minorHAnsi" w:eastAsia="Arial" w:hAnsiTheme="minorHAnsi" w:cstheme="minorHAnsi"/>
          <w:spacing w:val="-1"/>
          <w:sz w:val="24"/>
          <w:szCs w:val="24"/>
        </w:rPr>
        <w:t xml:space="preserve"> </w:t>
      </w:r>
      <w:r w:rsidRPr="00044AE2">
        <w:rPr>
          <w:rFonts w:asciiTheme="minorHAnsi" w:eastAsia="Arial" w:hAnsiTheme="minorHAnsi" w:cstheme="minorHAnsi"/>
          <w:spacing w:val="1"/>
          <w:sz w:val="24"/>
          <w:szCs w:val="24"/>
        </w:rPr>
        <w:t>ob</w:t>
      </w:r>
      <w:r w:rsidRPr="00044AE2">
        <w:rPr>
          <w:rFonts w:asciiTheme="minorHAnsi" w:eastAsia="Arial" w:hAnsiTheme="minorHAnsi" w:cstheme="minorHAnsi"/>
          <w:sz w:val="24"/>
          <w:szCs w:val="24"/>
        </w:rPr>
        <w:t>je</w:t>
      </w:r>
      <w:r w:rsidRPr="00044AE2">
        <w:rPr>
          <w:rFonts w:asciiTheme="minorHAnsi" w:eastAsia="Arial" w:hAnsiTheme="minorHAnsi" w:cstheme="minorHAnsi"/>
          <w:spacing w:val="-2"/>
          <w:sz w:val="24"/>
          <w:szCs w:val="24"/>
        </w:rPr>
        <w:t>c</w:t>
      </w:r>
      <w:r w:rsidRPr="00044AE2">
        <w:rPr>
          <w:rFonts w:asciiTheme="minorHAnsi" w:eastAsia="Arial" w:hAnsiTheme="minorHAnsi" w:cstheme="minorHAnsi"/>
          <w:sz w:val="24"/>
          <w:szCs w:val="24"/>
        </w:rPr>
        <w:t>tiv</w:t>
      </w:r>
      <w:r w:rsidRPr="00044AE2">
        <w:rPr>
          <w:rFonts w:asciiTheme="minorHAnsi" w:eastAsia="Arial" w:hAnsiTheme="minorHAnsi" w:cstheme="minorHAnsi"/>
          <w:spacing w:val="1"/>
          <w:sz w:val="24"/>
          <w:szCs w:val="24"/>
        </w:rPr>
        <w:t>e</w:t>
      </w:r>
      <w:r w:rsidRPr="00044AE2">
        <w:rPr>
          <w:rFonts w:asciiTheme="minorHAnsi" w:eastAsia="Arial" w:hAnsiTheme="minorHAnsi" w:cstheme="minorHAnsi"/>
          <w:sz w:val="24"/>
          <w:szCs w:val="24"/>
        </w:rPr>
        <w:t>s</w:t>
      </w:r>
      <w:r w:rsidRPr="00044AE2">
        <w:rPr>
          <w:rFonts w:asciiTheme="minorHAnsi" w:eastAsia="Arial" w:hAnsiTheme="minorHAnsi" w:cstheme="minorHAnsi"/>
          <w:spacing w:val="-2"/>
          <w:sz w:val="24"/>
          <w:szCs w:val="24"/>
        </w:rPr>
        <w:t xml:space="preserve"> </w:t>
      </w:r>
      <w:r w:rsidRPr="00044AE2">
        <w:rPr>
          <w:rFonts w:asciiTheme="minorHAnsi" w:eastAsia="Arial" w:hAnsiTheme="minorHAnsi" w:cstheme="minorHAnsi"/>
          <w:spacing w:val="3"/>
          <w:sz w:val="24"/>
          <w:szCs w:val="24"/>
        </w:rPr>
        <w:t>f</w:t>
      </w:r>
      <w:r w:rsidRPr="00044AE2">
        <w:rPr>
          <w:rFonts w:asciiTheme="minorHAnsi" w:eastAsia="Arial" w:hAnsiTheme="minorHAnsi" w:cstheme="minorHAnsi"/>
          <w:spacing w:val="1"/>
          <w:sz w:val="24"/>
          <w:szCs w:val="24"/>
        </w:rPr>
        <w:t>o</w:t>
      </w:r>
      <w:r w:rsidRPr="00044AE2">
        <w:rPr>
          <w:rFonts w:asciiTheme="minorHAnsi" w:eastAsia="Arial" w:hAnsiTheme="minorHAnsi" w:cstheme="minorHAnsi"/>
          <w:sz w:val="24"/>
          <w:szCs w:val="24"/>
        </w:rPr>
        <w:t xml:space="preserve">r </w:t>
      </w:r>
      <w:r w:rsidRPr="00044AE2">
        <w:rPr>
          <w:rFonts w:asciiTheme="minorHAnsi" w:eastAsia="Arial" w:hAnsiTheme="minorHAnsi" w:cstheme="minorHAnsi"/>
          <w:spacing w:val="-2"/>
          <w:sz w:val="24"/>
          <w:szCs w:val="24"/>
        </w:rPr>
        <w:t>e</w:t>
      </w:r>
      <w:r w:rsidRPr="00044AE2">
        <w:rPr>
          <w:rFonts w:asciiTheme="minorHAnsi" w:eastAsia="Arial" w:hAnsiTheme="minorHAnsi" w:cstheme="minorHAnsi"/>
          <w:spacing w:val="1"/>
          <w:sz w:val="24"/>
          <w:szCs w:val="24"/>
        </w:rPr>
        <w:t>a</w:t>
      </w:r>
      <w:r w:rsidRPr="00044AE2">
        <w:rPr>
          <w:rFonts w:asciiTheme="minorHAnsi" w:eastAsia="Arial" w:hAnsiTheme="minorHAnsi" w:cstheme="minorHAnsi"/>
          <w:sz w:val="24"/>
          <w:szCs w:val="24"/>
        </w:rPr>
        <w:t>ch</w:t>
      </w:r>
      <w:r w:rsidRPr="00044AE2">
        <w:rPr>
          <w:rFonts w:asciiTheme="minorHAnsi" w:eastAsia="Arial" w:hAnsiTheme="minorHAnsi" w:cstheme="minorHAnsi"/>
          <w:spacing w:val="1"/>
          <w:sz w:val="24"/>
          <w:szCs w:val="24"/>
        </w:rPr>
        <w:t xml:space="preserve"> </w:t>
      </w:r>
      <w:r w:rsidRPr="00044AE2">
        <w:rPr>
          <w:rFonts w:asciiTheme="minorHAnsi" w:eastAsia="Arial" w:hAnsiTheme="minorHAnsi" w:cstheme="minorHAnsi"/>
          <w:sz w:val="24"/>
          <w:szCs w:val="24"/>
        </w:rPr>
        <w:t>cli</w:t>
      </w:r>
      <w:r w:rsidRPr="00044AE2">
        <w:rPr>
          <w:rFonts w:asciiTheme="minorHAnsi" w:eastAsia="Arial" w:hAnsiTheme="minorHAnsi" w:cstheme="minorHAnsi"/>
          <w:spacing w:val="-2"/>
          <w:sz w:val="24"/>
          <w:szCs w:val="24"/>
        </w:rPr>
        <w:t>e</w:t>
      </w:r>
      <w:r w:rsidRPr="00044AE2">
        <w:rPr>
          <w:rFonts w:asciiTheme="minorHAnsi" w:eastAsia="Arial" w:hAnsiTheme="minorHAnsi" w:cstheme="minorHAnsi"/>
          <w:spacing w:val="1"/>
          <w:sz w:val="24"/>
          <w:szCs w:val="24"/>
        </w:rPr>
        <w:t>n</w:t>
      </w:r>
      <w:r w:rsidRPr="00044AE2">
        <w:rPr>
          <w:rFonts w:asciiTheme="minorHAnsi" w:eastAsia="Arial" w:hAnsiTheme="minorHAnsi" w:cstheme="minorHAnsi"/>
          <w:sz w:val="24"/>
          <w:szCs w:val="24"/>
        </w:rPr>
        <w:t>t</w:t>
      </w:r>
      <w:r w:rsidRPr="00044AE2">
        <w:rPr>
          <w:rFonts w:asciiTheme="minorHAnsi" w:eastAsia="Arial" w:hAnsiTheme="minorHAnsi" w:cstheme="minorHAnsi"/>
          <w:spacing w:val="-1"/>
          <w:sz w:val="24"/>
          <w:szCs w:val="24"/>
        </w:rPr>
        <w:t xml:space="preserve"> </w:t>
      </w:r>
      <w:r w:rsidRPr="00044AE2">
        <w:rPr>
          <w:rFonts w:asciiTheme="minorHAnsi" w:eastAsia="Arial" w:hAnsiTheme="minorHAnsi" w:cstheme="minorHAnsi"/>
          <w:spacing w:val="1"/>
          <w:sz w:val="24"/>
          <w:szCs w:val="24"/>
        </w:rPr>
        <w:t>a</w:t>
      </w:r>
      <w:r w:rsidRPr="00044AE2">
        <w:rPr>
          <w:rFonts w:asciiTheme="minorHAnsi" w:eastAsia="Arial" w:hAnsiTheme="minorHAnsi" w:cstheme="minorHAnsi"/>
          <w:sz w:val="24"/>
          <w:szCs w:val="24"/>
        </w:rPr>
        <w:t xml:space="preserve">re </w:t>
      </w:r>
      <w:r w:rsidRPr="00044AE2">
        <w:rPr>
          <w:rFonts w:asciiTheme="minorHAnsi" w:eastAsia="Arial" w:hAnsiTheme="minorHAnsi" w:cstheme="minorHAnsi"/>
          <w:spacing w:val="-1"/>
          <w:sz w:val="24"/>
          <w:szCs w:val="24"/>
        </w:rPr>
        <w:t>d</w:t>
      </w:r>
      <w:r w:rsidRPr="00044AE2">
        <w:rPr>
          <w:rFonts w:asciiTheme="minorHAnsi" w:eastAsia="Arial" w:hAnsiTheme="minorHAnsi" w:cstheme="minorHAnsi"/>
          <w:spacing w:val="6"/>
          <w:sz w:val="24"/>
          <w:szCs w:val="24"/>
        </w:rPr>
        <w:t>o</w:t>
      </w:r>
      <w:r w:rsidRPr="00044AE2">
        <w:rPr>
          <w:rFonts w:asciiTheme="minorHAnsi" w:eastAsia="Arial" w:hAnsiTheme="minorHAnsi" w:cstheme="minorHAnsi"/>
          <w:sz w:val="24"/>
          <w:szCs w:val="24"/>
        </w:rPr>
        <w:t>c</w:t>
      </w:r>
      <w:r w:rsidRPr="00044AE2">
        <w:rPr>
          <w:rFonts w:asciiTheme="minorHAnsi" w:eastAsia="Arial" w:hAnsiTheme="minorHAnsi" w:cstheme="minorHAnsi"/>
          <w:spacing w:val="1"/>
          <w:sz w:val="24"/>
          <w:szCs w:val="24"/>
        </w:rPr>
        <w:t>u</w:t>
      </w:r>
      <w:r w:rsidRPr="00044AE2">
        <w:rPr>
          <w:rFonts w:asciiTheme="minorHAnsi" w:eastAsia="Arial" w:hAnsiTheme="minorHAnsi" w:cstheme="minorHAnsi"/>
          <w:spacing w:val="-1"/>
          <w:sz w:val="24"/>
          <w:szCs w:val="24"/>
        </w:rPr>
        <w:t>m</w:t>
      </w:r>
      <w:r w:rsidRPr="00044AE2">
        <w:rPr>
          <w:rFonts w:asciiTheme="minorHAnsi" w:eastAsia="Arial" w:hAnsiTheme="minorHAnsi" w:cstheme="minorHAnsi"/>
          <w:spacing w:val="1"/>
          <w:sz w:val="24"/>
          <w:szCs w:val="24"/>
        </w:rPr>
        <w:t>en</w:t>
      </w:r>
      <w:r w:rsidRPr="00044AE2">
        <w:rPr>
          <w:rFonts w:asciiTheme="minorHAnsi" w:eastAsia="Arial" w:hAnsiTheme="minorHAnsi" w:cstheme="minorHAnsi"/>
          <w:spacing w:val="-2"/>
          <w:sz w:val="24"/>
          <w:szCs w:val="24"/>
        </w:rPr>
        <w:t>t</w:t>
      </w:r>
      <w:r w:rsidRPr="00044AE2">
        <w:rPr>
          <w:rFonts w:asciiTheme="minorHAnsi" w:eastAsia="Arial" w:hAnsiTheme="minorHAnsi" w:cstheme="minorHAnsi"/>
          <w:spacing w:val="1"/>
          <w:sz w:val="24"/>
          <w:szCs w:val="24"/>
        </w:rPr>
        <w:t>e</w:t>
      </w:r>
      <w:r w:rsidRPr="00044AE2">
        <w:rPr>
          <w:rFonts w:asciiTheme="minorHAnsi" w:eastAsia="Arial" w:hAnsiTheme="minorHAnsi" w:cstheme="minorHAnsi"/>
          <w:sz w:val="24"/>
          <w:szCs w:val="24"/>
        </w:rPr>
        <w:t xml:space="preserve">d </w:t>
      </w:r>
      <w:r w:rsidRPr="00044AE2">
        <w:rPr>
          <w:rFonts w:asciiTheme="minorHAnsi" w:eastAsia="Arial" w:hAnsiTheme="minorHAnsi" w:cstheme="minorHAnsi"/>
          <w:spacing w:val="1"/>
          <w:sz w:val="24"/>
          <w:szCs w:val="24"/>
        </w:rPr>
        <w:t>b</w:t>
      </w:r>
      <w:r w:rsidRPr="00044AE2">
        <w:rPr>
          <w:rFonts w:asciiTheme="minorHAnsi" w:eastAsia="Arial" w:hAnsiTheme="minorHAnsi" w:cstheme="minorHAnsi"/>
          <w:spacing w:val="-1"/>
          <w:sz w:val="24"/>
          <w:szCs w:val="24"/>
        </w:rPr>
        <w:t>e</w:t>
      </w:r>
      <w:r w:rsidRPr="00044AE2">
        <w:rPr>
          <w:rFonts w:asciiTheme="minorHAnsi" w:eastAsia="Arial" w:hAnsiTheme="minorHAnsi" w:cstheme="minorHAnsi"/>
          <w:sz w:val="24"/>
          <w:szCs w:val="24"/>
        </w:rPr>
        <w:t>f</w:t>
      </w:r>
      <w:r w:rsidRPr="00044AE2">
        <w:rPr>
          <w:rFonts w:asciiTheme="minorHAnsi" w:eastAsia="Arial" w:hAnsiTheme="minorHAnsi" w:cstheme="minorHAnsi"/>
          <w:spacing w:val="1"/>
          <w:sz w:val="24"/>
          <w:szCs w:val="24"/>
        </w:rPr>
        <w:t>o</w:t>
      </w:r>
      <w:r w:rsidRPr="00044AE2">
        <w:rPr>
          <w:rFonts w:asciiTheme="minorHAnsi" w:eastAsia="Arial" w:hAnsiTheme="minorHAnsi" w:cstheme="minorHAnsi"/>
          <w:sz w:val="24"/>
          <w:szCs w:val="24"/>
        </w:rPr>
        <w:t>re</w:t>
      </w:r>
      <w:r w:rsidRPr="00044AE2">
        <w:rPr>
          <w:rFonts w:asciiTheme="minorHAnsi" w:eastAsia="Arial" w:hAnsiTheme="minorHAnsi" w:cstheme="minorHAnsi"/>
          <w:spacing w:val="-1"/>
          <w:sz w:val="24"/>
          <w:szCs w:val="24"/>
        </w:rPr>
        <w:t xml:space="preserve"> </w:t>
      </w:r>
      <w:r w:rsidRPr="00044AE2">
        <w:rPr>
          <w:rFonts w:asciiTheme="minorHAnsi" w:eastAsia="Arial" w:hAnsiTheme="minorHAnsi" w:cstheme="minorHAnsi"/>
          <w:spacing w:val="1"/>
          <w:sz w:val="24"/>
          <w:szCs w:val="24"/>
        </w:rPr>
        <w:t>an</w:t>
      </w:r>
      <w:r w:rsidRPr="00044AE2">
        <w:rPr>
          <w:rFonts w:asciiTheme="minorHAnsi" w:eastAsia="Arial" w:hAnsiTheme="minorHAnsi" w:cstheme="minorHAnsi"/>
          <w:sz w:val="24"/>
          <w:szCs w:val="24"/>
        </w:rPr>
        <w:t>y in</w:t>
      </w:r>
      <w:r w:rsidRPr="00044AE2">
        <w:rPr>
          <w:rFonts w:asciiTheme="minorHAnsi" w:eastAsia="Arial" w:hAnsiTheme="minorHAnsi" w:cstheme="minorHAnsi"/>
          <w:spacing w:val="-2"/>
          <w:sz w:val="24"/>
          <w:szCs w:val="24"/>
        </w:rPr>
        <w:t>v</w:t>
      </w:r>
      <w:r w:rsidRPr="00044AE2">
        <w:rPr>
          <w:rFonts w:asciiTheme="minorHAnsi" w:eastAsia="Arial" w:hAnsiTheme="minorHAnsi" w:cstheme="minorHAnsi"/>
          <w:spacing w:val="1"/>
          <w:sz w:val="24"/>
          <w:szCs w:val="24"/>
        </w:rPr>
        <w:t>e</w:t>
      </w:r>
      <w:r w:rsidRPr="00044AE2">
        <w:rPr>
          <w:rFonts w:asciiTheme="minorHAnsi" w:eastAsia="Arial" w:hAnsiTheme="minorHAnsi" w:cstheme="minorHAnsi"/>
          <w:sz w:val="24"/>
          <w:szCs w:val="24"/>
        </w:rPr>
        <w:t>sti</w:t>
      </w:r>
      <w:r w:rsidRPr="00044AE2">
        <w:rPr>
          <w:rFonts w:asciiTheme="minorHAnsi" w:eastAsia="Arial" w:hAnsiTheme="minorHAnsi" w:cstheme="minorHAnsi"/>
          <w:spacing w:val="1"/>
          <w:sz w:val="24"/>
          <w:szCs w:val="24"/>
        </w:rPr>
        <w:t>n</w:t>
      </w:r>
      <w:r w:rsidRPr="00044AE2">
        <w:rPr>
          <w:rFonts w:asciiTheme="minorHAnsi" w:eastAsia="Arial" w:hAnsiTheme="minorHAnsi" w:cstheme="minorHAnsi"/>
          <w:sz w:val="24"/>
          <w:szCs w:val="24"/>
        </w:rPr>
        <w:t>g</w:t>
      </w:r>
      <w:r w:rsidRPr="00044AE2">
        <w:rPr>
          <w:rFonts w:asciiTheme="minorHAnsi" w:eastAsia="Arial" w:hAnsiTheme="minorHAnsi" w:cstheme="minorHAnsi"/>
          <w:spacing w:val="-1"/>
          <w:sz w:val="24"/>
          <w:szCs w:val="24"/>
        </w:rPr>
        <w:t xml:space="preserve"> </w:t>
      </w:r>
      <w:r w:rsidRPr="00044AE2">
        <w:rPr>
          <w:rFonts w:asciiTheme="minorHAnsi" w:eastAsia="Arial" w:hAnsiTheme="minorHAnsi" w:cstheme="minorHAnsi"/>
          <w:spacing w:val="1"/>
          <w:sz w:val="24"/>
          <w:szCs w:val="24"/>
        </w:rPr>
        <w:t>ta</w:t>
      </w:r>
      <w:r w:rsidRPr="00044AE2">
        <w:rPr>
          <w:rFonts w:asciiTheme="minorHAnsi" w:eastAsia="Arial" w:hAnsiTheme="minorHAnsi" w:cstheme="minorHAnsi"/>
          <w:sz w:val="24"/>
          <w:szCs w:val="24"/>
        </w:rPr>
        <w:t>k</w:t>
      </w:r>
      <w:r w:rsidRPr="00044AE2">
        <w:rPr>
          <w:rFonts w:asciiTheme="minorHAnsi" w:eastAsia="Arial" w:hAnsiTheme="minorHAnsi" w:cstheme="minorHAnsi"/>
          <w:spacing w:val="1"/>
          <w:sz w:val="24"/>
          <w:szCs w:val="24"/>
        </w:rPr>
        <w:t>e</w:t>
      </w:r>
      <w:r w:rsidRPr="00044AE2">
        <w:rPr>
          <w:rFonts w:asciiTheme="minorHAnsi" w:eastAsia="Arial" w:hAnsiTheme="minorHAnsi" w:cstheme="minorHAnsi"/>
          <w:sz w:val="24"/>
          <w:szCs w:val="24"/>
        </w:rPr>
        <w:t xml:space="preserve">s </w:t>
      </w:r>
      <w:r w:rsidRPr="00044AE2">
        <w:rPr>
          <w:rFonts w:asciiTheme="minorHAnsi" w:eastAsia="Arial" w:hAnsiTheme="minorHAnsi" w:cstheme="minorHAnsi"/>
          <w:spacing w:val="1"/>
          <w:sz w:val="24"/>
          <w:szCs w:val="24"/>
        </w:rPr>
        <w:t>p</w:t>
      </w:r>
      <w:r w:rsidRPr="00044AE2">
        <w:rPr>
          <w:rFonts w:asciiTheme="minorHAnsi" w:eastAsia="Arial" w:hAnsiTheme="minorHAnsi" w:cstheme="minorHAnsi"/>
          <w:sz w:val="24"/>
          <w:szCs w:val="24"/>
        </w:rPr>
        <w:t>la</w:t>
      </w:r>
      <w:r w:rsidRPr="00044AE2">
        <w:rPr>
          <w:rFonts w:asciiTheme="minorHAnsi" w:eastAsia="Arial" w:hAnsiTheme="minorHAnsi" w:cstheme="minorHAnsi"/>
          <w:spacing w:val="-2"/>
          <w:sz w:val="24"/>
          <w:szCs w:val="24"/>
        </w:rPr>
        <w:t>c</w:t>
      </w:r>
      <w:r w:rsidRPr="00044AE2">
        <w:rPr>
          <w:rFonts w:asciiTheme="minorHAnsi" w:eastAsia="Arial" w:hAnsiTheme="minorHAnsi" w:cstheme="minorHAnsi"/>
          <w:spacing w:val="1"/>
          <w:sz w:val="24"/>
          <w:szCs w:val="24"/>
        </w:rPr>
        <w:t>e</w:t>
      </w:r>
      <w:r w:rsidRPr="00044AE2">
        <w:rPr>
          <w:rFonts w:asciiTheme="minorHAnsi" w:eastAsia="Arial" w:hAnsiTheme="minorHAnsi" w:cstheme="minorHAnsi"/>
          <w:sz w:val="24"/>
          <w:szCs w:val="24"/>
        </w:rPr>
        <w:t xml:space="preserve">. </w:t>
      </w:r>
      <w:r w:rsidRPr="00044AE2">
        <w:rPr>
          <w:rFonts w:asciiTheme="minorHAnsi" w:eastAsia="Arial" w:hAnsiTheme="minorHAnsi" w:cstheme="minorHAnsi"/>
          <w:spacing w:val="2"/>
          <w:sz w:val="24"/>
          <w:szCs w:val="24"/>
        </w:rPr>
        <w:t xml:space="preserve"> </w:t>
      </w:r>
      <w:r w:rsidRPr="00044AE2">
        <w:rPr>
          <w:rFonts w:asciiTheme="minorHAnsi" w:eastAsia="Arial" w:hAnsiTheme="minorHAnsi" w:cstheme="minorHAnsi"/>
          <w:sz w:val="24"/>
          <w:szCs w:val="24"/>
        </w:rPr>
        <w:t>C</w:t>
      </w:r>
      <w:r w:rsidRPr="00044AE2">
        <w:rPr>
          <w:rFonts w:asciiTheme="minorHAnsi" w:eastAsia="Arial" w:hAnsiTheme="minorHAnsi" w:cstheme="minorHAnsi"/>
          <w:spacing w:val="-1"/>
          <w:sz w:val="24"/>
          <w:szCs w:val="24"/>
        </w:rPr>
        <w:t>l</w:t>
      </w:r>
      <w:r w:rsidRPr="00044AE2">
        <w:rPr>
          <w:rFonts w:asciiTheme="minorHAnsi" w:eastAsia="Arial" w:hAnsiTheme="minorHAnsi" w:cstheme="minorHAnsi"/>
          <w:sz w:val="24"/>
          <w:szCs w:val="24"/>
        </w:rPr>
        <w:t>i</w:t>
      </w:r>
      <w:r w:rsidRPr="00044AE2">
        <w:rPr>
          <w:rFonts w:asciiTheme="minorHAnsi" w:eastAsia="Arial" w:hAnsiTheme="minorHAnsi" w:cstheme="minorHAnsi"/>
          <w:spacing w:val="-2"/>
          <w:sz w:val="24"/>
          <w:szCs w:val="24"/>
        </w:rPr>
        <w:t>e</w:t>
      </w:r>
      <w:r w:rsidRPr="00044AE2">
        <w:rPr>
          <w:rFonts w:asciiTheme="minorHAnsi" w:eastAsia="Arial" w:hAnsiTheme="minorHAnsi" w:cstheme="minorHAnsi"/>
          <w:spacing w:val="1"/>
          <w:sz w:val="24"/>
          <w:szCs w:val="24"/>
        </w:rPr>
        <w:t>n</w:t>
      </w:r>
      <w:r w:rsidRPr="00044AE2">
        <w:rPr>
          <w:rFonts w:asciiTheme="minorHAnsi" w:eastAsia="Arial" w:hAnsiTheme="minorHAnsi" w:cstheme="minorHAnsi"/>
          <w:sz w:val="24"/>
          <w:szCs w:val="24"/>
        </w:rPr>
        <w:t>ts</w:t>
      </w:r>
      <w:r w:rsidRPr="00044AE2">
        <w:rPr>
          <w:rFonts w:asciiTheme="minorHAnsi" w:eastAsia="Arial" w:hAnsiTheme="minorHAnsi" w:cstheme="minorHAnsi"/>
          <w:spacing w:val="1"/>
          <w:sz w:val="24"/>
          <w:szCs w:val="24"/>
        </w:rPr>
        <w:t xml:space="preserve"> </w:t>
      </w:r>
      <w:r w:rsidRPr="00044AE2">
        <w:rPr>
          <w:rFonts w:asciiTheme="minorHAnsi" w:eastAsia="Arial" w:hAnsiTheme="minorHAnsi" w:cstheme="minorHAnsi"/>
          <w:spacing w:val="-1"/>
          <w:sz w:val="24"/>
          <w:szCs w:val="24"/>
        </w:rPr>
        <w:t>m</w:t>
      </w:r>
      <w:r w:rsidRPr="00044AE2">
        <w:rPr>
          <w:rFonts w:asciiTheme="minorHAnsi" w:eastAsia="Arial" w:hAnsiTheme="minorHAnsi" w:cstheme="minorHAnsi"/>
          <w:spacing w:val="1"/>
          <w:sz w:val="24"/>
          <w:szCs w:val="24"/>
        </w:rPr>
        <w:t>a</w:t>
      </w:r>
      <w:r w:rsidRPr="00044AE2">
        <w:rPr>
          <w:rFonts w:asciiTheme="minorHAnsi" w:eastAsia="Arial" w:hAnsiTheme="minorHAnsi" w:cstheme="minorHAnsi"/>
          <w:sz w:val="24"/>
          <w:szCs w:val="24"/>
        </w:rPr>
        <w:t>y</w:t>
      </w:r>
      <w:r w:rsidRPr="00044AE2">
        <w:rPr>
          <w:rFonts w:asciiTheme="minorHAnsi" w:eastAsia="Arial" w:hAnsiTheme="minorHAnsi" w:cstheme="minorHAnsi"/>
          <w:spacing w:val="-2"/>
          <w:sz w:val="24"/>
          <w:szCs w:val="24"/>
        </w:rPr>
        <w:t xml:space="preserve"> </w:t>
      </w:r>
      <w:r w:rsidRPr="00044AE2">
        <w:rPr>
          <w:rFonts w:asciiTheme="minorHAnsi" w:eastAsia="Arial" w:hAnsiTheme="minorHAnsi" w:cstheme="minorHAnsi"/>
          <w:sz w:val="24"/>
          <w:szCs w:val="24"/>
        </w:rPr>
        <w:t>i</w:t>
      </w:r>
      <w:r w:rsidRPr="00044AE2">
        <w:rPr>
          <w:rFonts w:asciiTheme="minorHAnsi" w:eastAsia="Arial" w:hAnsiTheme="minorHAnsi" w:cstheme="minorHAnsi"/>
          <w:spacing w:val="1"/>
          <w:sz w:val="24"/>
          <w:szCs w:val="24"/>
        </w:rPr>
        <w:t>mpo</w:t>
      </w:r>
      <w:r w:rsidRPr="00044AE2">
        <w:rPr>
          <w:rFonts w:asciiTheme="minorHAnsi" w:eastAsia="Arial" w:hAnsiTheme="minorHAnsi" w:cstheme="minorHAnsi"/>
          <w:spacing w:val="-2"/>
          <w:sz w:val="24"/>
          <w:szCs w:val="24"/>
        </w:rPr>
        <w:t>s</w:t>
      </w:r>
      <w:r w:rsidRPr="00044AE2">
        <w:rPr>
          <w:rFonts w:asciiTheme="minorHAnsi" w:eastAsia="Arial" w:hAnsiTheme="minorHAnsi" w:cstheme="minorHAnsi"/>
          <w:sz w:val="24"/>
          <w:szCs w:val="24"/>
        </w:rPr>
        <w:t>e</w:t>
      </w:r>
      <w:r w:rsidRPr="00044AE2">
        <w:rPr>
          <w:rFonts w:asciiTheme="minorHAnsi" w:eastAsia="Arial" w:hAnsiTheme="minorHAnsi" w:cstheme="minorHAnsi"/>
          <w:spacing w:val="1"/>
          <w:sz w:val="24"/>
          <w:szCs w:val="24"/>
        </w:rPr>
        <w:t xml:space="preserve"> </w:t>
      </w:r>
      <w:r w:rsidRPr="00044AE2">
        <w:rPr>
          <w:rFonts w:asciiTheme="minorHAnsi" w:eastAsia="Arial" w:hAnsiTheme="minorHAnsi" w:cstheme="minorHAnsi"/>
          <w:sz w:val="24"/>
          <w:szCs w:val="24"/>
        </w:rPr>
        <w:t>res</w:t>
      </w:r>
      <w:r w:rsidRPr="00044AE2">
        <w:rPr>
          <w:rFonts w:asciiTheme="minorHAnsi" w:eastAsia="Arial" w:hAnsiTheme="minorHAnsi" w:cstheme="minorHAnsi"/>
          <w:spacing w:val="1"/>
          <w:sz w:val="24"/>
          <w:szCs w:val="24"/>
        </w:rPr>
        <w:t>t</w:t>
      </w:r>
      <w:r w:rsidRPr="00044AE2">
        <w:rPr>
          <w:rFonts w:asciiTheme="minorHAnsi" w:eastAsia="Arial" w:hAnsiTheme="minorHAnsi" w:cstheme="minorHAnsi"/>
          <w:sz w:val="24"/>
          <w:szCs w:val="24"/>
        </w:rPr>
        <w:t>r</w:t>
      </w:r>
      <w:r w:rsidRPr="00044AE2">
        <w:rPr>
          <w:rFonts w:asciiTheme="minorHAnsi" w:eastAsia="Arial" w:hAnsiTheme="minorHAnsi" w:cstheme="minorHAnsi"/>
          <w:spacing w:val="-1"/>
          <w:sz w:val="24"/>
          <w:szCs w:val="24"/>
        </w:rPr>
        <w:t>i</w:t>
      </w:r>
      <w:r w:rsidRPr="00044AE2">
        <w:rPr>
          <w:rFonts w:asciiTheme="minorHAnsi" w:eastAsia="Arial" w:hAnsiTheme="minorHAnsi" w:cstheme="minorHAnsi"/>
          <w:spacing w:val="-2"/>
          <w:sz w:val="24"/>
          <w:szCs w:val="24"/>
        </w:rPr>
        <w:t>c</w:t>
      </w:r>
      <w:r w:rsidRPr="00044AE2">
        <w:rPr>
          <w:rFonts w:asciiTheme="minorHAnsi" w:eastAsia="Arial" w:hAnsiTheme="minorHAnsi" w:cstheme="minorHAnsi"/>
          <w:sz w:val="24"/>
          <w:szCs w:val="24"/>
        </w:rPr>
        <w:t>ti</w:t>
      </w:r>
      <w:r w:rsidRPr="00044AE2">
        <w:rPr>
          <w:rFonts w:asciiTheme="minorHAnsi" w:eastAsia="Arial" w:hAnsiTheme="minorHAnsi" w:cstheme="minorHAnsi"/>
          <w:spacing w:val="1"/>
          <w:sz w:val="24"/>
          <w:szCs w:val="24"/>
        </w:rPr>
        <w:t>on</w:t>
      </w:r>
      <w:r w:rsidRPr="00044AE2">
        <w:rPr>
          <w:rFonts w:asciiTheme="minorHAnsi" w:eastAsia="Arial" w:hAnsiTheme="minorHAnsi" w:cstheme="minorHAnsi"/>
          <w:sz w:val="24"/>
          <w:szCs w:val="24"/>
        </w:rPr>
        <w:t xml:space="preserve">s </w:t>
      </w:r>
      <w:r w:rsidRPr="00044AE2">
        <w:rPr>
          <w:rFonts w:asciiTheme="minorHAnsi" w:eastAsia="Arial" w:hAnsiTheme="minorHAnsi" w:cstheme="minorHAnsi"/>
          <w:spacing w:val="-1"/>
          <w:sz w:val="24"/>
          <w:szCs w:val="24"/>
        </w:rPr>
        <w:t>o</w:t>
      </w:r>
      <w:r w:rsidRPr="00044AE2">
        <w:rPr>
          <w:rFonts w:asciiTheme="minorHAnsi" w:eastAsia="Arial" w:hAnsiTheme="minorHAnsi" w:cstheme="minorHAnsi"/>
          <w:sz w:val="24"/>
          <w:szCs w:val="24"/>
        </w:rPr>
        <w:t>n in</w:t>
      </w:r>
      <w:r w:rsidRPr="00044AE2">
        <w:rPr>
          <w:rFonts w:asciiTheme="minorHAnsi" w:eastAsia="Arial" w:hAnsiTheme="minorHAnsi" w:cstheme="minorHAnsi"/>
          <w:spacing w:val="-2"/>
          <w:sz w:val="24"/>
          <w:szCs w:val="24"/>
        </w:rPr>
        <w:t>v</w:t>
      </w:r>
      <w:r w:rsidRPr="00044AE2">
        <w:rPr>
          <w:rFonts w:asciiTheme="minorHAnsi" w:eastAsia="Arial" w:hAnsiTheme="minorHAnsi" w:cstheme="minorHAnsi"/>
          <w:spacing w:val="1"/>
          <w:sz w:val="24"/>
          <w:szCs w:val="24"/>
        </w:rPr>
        <w:t>e</w:t>
      </w:r>
      <w:r w:rsidRPr="00044AE2">
        <w:rPr>
          <w:rFonts w:asciiTheme="minorHAnsi" w:eastAsia="Arial" w:hAnsiTheme="minorHAnsi" w:cstheme="minorHAnsi"/>
          <w:sz w:val="24"/>
          <w:szCs w:val="24"/>
        </w:rPr>
        <w:t>sti</w:t>
      </w:r>
      <w:r w:rsidRPr="00044AE2">
        <w:rPr>
          <w:rFonts w:asciiTheme="minorHAnsi" w:eastAsia="Arial" w:hAnsiTheme="minorHAnsi" w:cstheme="minorHAnsi"/>
          <w:spacing w:val="1"/>
          <w:sz w:val="24"/>
          <w:szCs w:val="24"/>
        </w:rPr>
        <w:t>n</w:t>
      </w:r>
      <w:r w:rsidRPr="00044AE2">
        <w:rPr>
          <w:rFonts w:asciiTheme="minorHAnsi" w:eastAsia="Arial" w:hAnsiTheme="minorHAnsi" w:cstheme="minorHAnsi"/>
          <w:sz w:val="24"/>
          <w:szCs w:val="24"/>
        </w:rPr>
        <w:t>g</w:t>
      </w:r>
      <w:r w:rsidRPr="00044AE2">
        <w:rPr>
          <w:rFonts w:asciiTheme="minorHAnsi" w:eastAsia="Arial" w:hAnsiTheme="minorHAnsi" w:cstheme="minorHAnsi"/>
          <w:spacing w:val="-1"/>
          <w:sz w:val="24"/>
          <w:szCs w:val="24"/>
        </w:rPr>
        <w:t xml:space="preserve"> </w:t>
      </w:r>
      <w:r w:rsidRPr="00044AE2">
        <w:rPr>
          <w:rFonts w:asciiTheme="minorHAnsi" w:eastAsia="Arial" w:hAnsiTheme="minorHAnsi" w:cstheme="minorHAnsi"/>
          <w:sz w:val="24"/>
          <w:szCs w:val="24"/>
        </w:rPr>
        <w:t>in</w:t>
      </w:r>
      <w:r w:rsidRPr="00044AE2">
        <w:rPr>
          <w:rFonts w:asciiTheme="minorHAnsi" w:eastAsia="Arial" w:hAnsiTheme="minorHAnsi" w:cstheme="minorHAnsi"/>
          <w:spacing w:val="3"/>
          <w:sz w:val="24"/>
          <w:szCs w:val="24"/>
        </w:rPr>
        <w:t xml:space="preserve"> </w:t>
      </w:r>
      <w:r w:rsidRPr="00044AE2">
        <w:rPr>
          <w:rFonts w:asciiTheme="minorHAnsi" w:eastAsia="Arial" w:hAnsiTheme="minorHAnsi" w:cstheme="minorHAnsi"/>
          <w:sz w:val="24"/>
          <w:szCs w:val="24"/>
        </w:rPr>
        <w:t>c</w:t>
      </w:r>
      <w:r w:rsidRPr="00044AE2">
        <w:rPr>
          <w:rFonts w:asciiTheme="minorHAnsi" w:eastAsia="Arial" w:hAnsiTheme="minorHAnsi" w:cstheme="minorHAnsi"/>
          <w:spacing w:val="1"/>
          <w:sz w:val="24"/>
          <w:szCs w:val="24"/>
        </w:rPr>
        <w:t>e</w:t>
      </w:r>
      <w:r w:rsidRPr="00044AE2">
        <w:rPr>
          <w:rFonts w:asciiTheme="minorHAnsi" w:eastAsia="Arial" w:hAnsiTheme="minorHAnsi" w:cstheme="minorHAnsi"/>
          <w:sz w:val="24"/>
          <w:szCs w:val="24"/>
        </w:rPr>
        <w:t>rtain</w:t>
      </w:r>
      <w:r w:rsidRPr="00044AE2">
        <w:rPr>
          <w:rFonts w:asciiTheme="minorHAnsi" w:eastAsia="Arial" w:hAnsiTheme="minorHAnsi" w:cstheme="minorHAnsi"/>
          <w:spacing w:val="1"/>
          <w:sz w:val="24"/>
          <w:szCs w:val="24"/>
        </w:rPr>
        <w:t xml:space="preserve"> </w:t>
      </w:r>
      <w:r w:rsidRPr="00044AE2">
        <w:rPr>
          <w:rFonts w:asciiTheme="minorHAnsi" w:eastAsia="Arial" w:hAnsiTheme="minorHAnsi" w:cstheme="minorHAnsi"/>
          <w:sz w:val="24"/>
          <w:szCs w:val="24"/>
        </w:rPr>
        <w:t>s</w:t>
      </w:r>
      <w:r w:rsidRPr="00044AE2">
        <w:rPr>
          <w:rFonts w:asciiTheme="minorHAnsi" w:eastAsia="Arial" w:hAnsiTheme="minorHAnsi" w:cstheme="minorHAnsi"/>
          <w:spacing w:val="1"/>
          <w:sz w:val="24"/>
          <w:szCs w:val="24"/>
        </w:rPr>
        <w:t>e</w:t>
      </w:r>
      <w:r w:rsidRPr="00044AE2">
        <w:rPr>
          <w:rFonts w:asciiTheme="minorHAnsi" w:eastAsia="Arial" w:hAnsiTheme="minorHAnsi" w:cstheme="minorHAnsi"/>
          <w:spacing w:val="-2"/>
          <w:sz w:val="24"/>
          <w:szCs w:val="24"/>
        </w:rPr>
        <w:t>c</w:t>
      </w:r>
      <w:r w:rsidRPr="00044AE2">
        <w:rPr>
          <w:rFonts w:asciiTheme="minorHAnsi" w:eastAsia="Arial" w:hAnsiTheme="minorHAnsi" w:cstheme="minorHAnsi"/>
          <w:spacing w:val="1"/>
          <w:sz w:val="24"/>
          <w:szCs w:val="24"/>
        </w:rPr>
        <w:t>u</w:t>
      </w:r>
      <w:r w:rsidRPr="00044AE2">
        <w:rPr>
          <w:rFonts w:asciiTheme="minorHAnsi" w:eastAsia="Arial" w:hAnsiTheme="minorHAnsi" w:cstheme="minorHAnsi"/>
          <w:sz w:val="24"/>
          <w:szCs w:val="24"/>
        </w:rPr>
        <w:t>r</w:t>
      </w:r>
      <w:r w:rsidRPr="00044AE2">
        <w:rPr>
          <w:rFonts w:asciiTheme="minorHAnsi" w:eastAsia="Arial" w:hAnsiTheme="minorHAnsi" w:cstheme="minorHAnsi"/>
          <w:spacing w:val="-1"/>
          <w:sz w:val="24"/>
          <w:szCs w:val="24"/>
        </w:rPr>
        <w:t>i</w:t>
      </w:r>
      <w:r w:rsidRPr="00044AE2">
        <w:rPr>
          <w:rFonts w:asciiTheme="minorHAnsi" w:eastAsia="Arial" w:hAnsiTheme="minorHAnsi" w:cstheme="minorHAnsi"/>
          <w:sz w:val="24"/>
          <w:szCs w:val="24"/>
        </w:rPr>
        <w:t>ti</w:t>
      </w:r>
      <w:r w:rsidRPr="00044AE2">
        <w:rPr>
          <w:rFonts w:asciiTheme="minorHAnsi" w:eastAsia="Arial" w:hAnsiTheme="minorHAnsi" w:cstheme="minorHAnsi"/>
          <w:spacing w:val="1"/>
          <w:sz w:val="24"/>
          <w:szCs w:val="24"/>
        </w:rPr>
        <w:t>e</w:t>
      </w:r>
      <w:r w:rsidRPr="00044AE2">
        <w:rPr>
          <w:rFonts w:asciiTheme="minorHAnsi" w:eastAsia="Arial" w:hAnsiTheme="minorHAnsi" w:cstheme="minorHAnsi"/>
          <w:sz w:val="24"/>
          <w:szCs w:val="24"/>
        </w:rPr>
        <w:t xml:space="preserve">s </w:t>
      </w:r>
      <w:r w:rsidRPr="00044AE2">
        <w:rPr>
          <w:rFonts w:asciiTheme="minorHAnsi" w:eastAsia="Arial" w:hAnsiTheme="minorHAnsi" w:cstheme="minorHAnsi"/>
          <w:spacing w:val="1"/>
          <w:sz w:val="24"/>
          <w:szCs w:val="24"/>
        </w:rPr>
        <w:t>o</w:t>
      </w:r>
      <w:r w:rsidRPr="00044AE2">
        <w:rPr>
          <w:rFonts w:asciiTheme="minorHAnsi" w:eastAsia="Arial" w:hAnsiTheme="minorHAnsi" w:cstheme="minorHAnsi"/>
          <w:sz w:val="24"/>
          <w:szCs w:val="24"/>
        </w:rPr>
        <w:t>r t</w:t>
      </w:r>
      <w:r w:rsidRPr="00044AE2">
        <w:rPr>
          <w:rFonts w:asciiTheme="minorHAnsi" w:eastAsia="Arial" w:hAnsiTheme="minorHAnsi" w:cstheme="minorHAnsi"/>
          <w:spacing w:val="-2"/>
          <w:sz w:val="24"/>
          <w:szCs w:val="24"/>
        </w:rPr>
        <w:t>y</w:t>
      </w:r>
      <w:r w:rsidRPr="00044AE2">
        <w:rPr>
          <w:rFonts w:asciiTheme="minorHAnsi" w:eastAsia="Arial" w:hAnsiTheme="minorHAnsi" w:cstheme="minorHAnsi"/>
          <w:spacing w:val="1"/>
          <w:sz w:val="24"/>
          <w:szCs w:val="24"/>
        </w:rPr>
        <w:t>pe</w:t>
      </w:r>
      <w:r w:rsidRPr="00044AE2">
        <w:rPr>
          <w:rFonts w:asciiTheme="minorHAnsi" w:eastAsia="Arial" w:hAnsiTheme="minorHAnsi" w:cstheme="minorHAnsi"/>
          <w:sz w:val="24"/>
          <w:szCs w:val="24"/>
        </w:rPr>
        <w:t xml:space="preserve">s </w:t>
      </w:r>
      <w:r w:rsidRPr="00044AE2">
        <w:rPr>
          <w:rFonts w:asciiTheme="minorHAnsi" w:eastAsia="Arial" w:hAnsiTheme="minorHAnsi" w:cstheme="minorHAnsi"/>
          <w:spacing w:val="-1"/>
          <w:sz w:val="24"/>
          <w:szCs w:val="24"/>
        </w:rPr>
        <w:t>o</w:t>
      </w:r>
      <w:r w:rsidRPr="00044AE2">
        <w:rPr>
          <w:rFonts w:asciiTheme="minorHAnsi" w:eastAsia="Arial" w:hAnsiTheme="minorHAnsi" w:cstheme="minorHAnsi"/>
          <w:sz w:val="24"/>
          <w:szCs w:val="24"/>
        </w:rPr>
        <w:t>f</w:t>
      </w:r>
      <w:r w:rsidRPr="00044AE2">
        <w:rPr>
          <w:rFonts w:asciiTheme="minorHAnsi" w:eastAsia="Arial" w:hAnsiTheme="minorHAnsi" w:cstheme="minorHAnsi"/>
          <w:spacing w:val="1"/>
          <w:sz w:val="24"/>
          <w:szCs w:val="24"/>
        </w:rPr>
        <w:t xml:space="preserve"> </w:t>
      </w:r>
      <w:r w:rsidRPr="00044AE2">
        <w:rPr>
          <w:rFonts w:asciiTheme="minorHAnsi" w:eastAsia="Arial" w:hAnsiTheme="minorHAnsi" w:cstheme="minorHAnsi"/>
          <w:sz w:val="24"/>
          <w:szCs w:val="24"/>
        </w:rPr>
        <w:t>s</w:t>
      </w:r>
      <w:r w:rsidRPr="00044AE2">
        <w:rPr>
          <w:rFonts w:asciiTheme="minorHAnsi" w:eastAsia="Arial" w:hAnsiTheme="minorHAnsi" w:cstheme="minorHAnsi"/>
          <w:spacing w:val="1"/>
          <w:sz w:val="24"/>
          <w:szCs w:val="24"/>
        </w:rPr>
        <w:t>e</w:t>
      </w:r>
      <w:r w:rsidRPr="00044AE2">
        <w:rPr>
          <w:rFonts w:asciiTheme="minorHAnsi" w:eastAsia="Arial" w:hAnsiTheme="minorHAnsi" w:cstheme="minorHAnsi"/>
          <w:sz w:val="24"/>
          <w:szCs w:val="24"/>
        </w:rPr>
        <w:t>c</w:t>
      </w:r>
      <w:r w:rsidRPr="00044AE2">
        <w:rPr>
          <w:rFonts w:asciiTheme="minorHAnsi" w:eastAsia="Arial" w:hAnsiTheme="minorHAnsi" w:cstheme="minorHAnsi"/>
          <w:spacing w:val="-1"/>
          <w:sz w:val="24"/>
          <w:szCs w:val="24"/>
        </w:rPr>
        <w:t>u</w:t>
      </w:r>
      <w:r w:rsidRPr="00044AE2">
        <w:rPr>
          <w:rFonts w:asciiTheme="minorHAnsi" w:eastAsia="Arial" w:hAnsiTheme="minorHAnsi" w:cstheme="minorHAnsi"/>
          <w:sz w:val="24"/>
          <w:szCs w:val="24"/>
        </w:rPr>
        <w:t>r</w:t>
      </w:r>
      <w:r w:rsidRPr="00044AE2">
        <w:rPr>
          <w:rFonts w:asciiTheme="minorHAnsi" w:eastAsia="Arial" w:hAnsiTheme="minorHAnsi" w:cstheme="minorHAnsi"/>
          <w:spacing w:val="-1"/>
          <w:sz w:val="24"/>
          <w:szCs w:val="24"/>
        </w:rPr>
        <w:t>i</w:t>
      </w:r>
      <w:r w:rsidRPr="00044AE2">
        <w:rPr>
          <w:rFonts w:asciiTheme="minorHAnsi" w:eastAsia="Arial" w:hAnsiTheme="minorHAnsi" w:cstheme="minorHAnsi"/>
          <w:sz w:val="24"/>
          <w:szCs w:val="24"/>
        </w:rPr>
        <w:t>ti</w:t>
      </w:r>
      <w:r w:rsidRPr="00044AE2">
        <w:rPr>
          <w:rFonts w:asciiTheme="minorHAnsi" w:eastAsia="Arial" w:hAnsiTheme="minorHAnsi" w:cstheme="minorHAnsi"/>
          <w:spacing w:val="1"/>
          <w:sz w:val="24"/>
          <w:szCs w:val="24"/>
        </w:rPr>
        <w:t>e</w:t>
      </w:r>
      <w:r w:rsidRPr="00044AE2">
        <w:rPr>
          <w:rFonts w:asciiTheme="minorHAnsi" w:eastAsia="Arial" w:hAnsiTheme="minorHAnsi" w:cstheme="minorHAnsi"/>
          <w:sz w:val="24"/>
          <w:szCs w:val="24"/>
        </w:rPr>
        <w:t>s.</w:t>
      </w:r>
    </w:p>
    <w:p w14:paraId="4E43B64C" w14:textId="77777777" w:rsidR="00A10217" w:rsidRPr="00044AE2" w:rsidRDefault="00A10217" w:rsidP="00D15F5E">
      <w:pPr>
        <w:spacing w:after="120"/>
        <w:rPr>
          <w:rFonts w:asciiTheme="minorHAnsi" w:hAnsiTheme="minorHAnsi"/>
          <w:smallCaps/>
          <w:sz w:val="24"/>
          <w:szCs w:val="24"/>
          <w:u w:val="single"/>
        </w:rPr>
      </w:pPr>
      <w:r w:rsidRPr="00044AE2">
        <w:rPr>
          <w:rFonts w:asciiTheme="minorHAnsi" w:hAnsiTheme="minorHAnsi"/>
          <w:smallCaps/>
          <w:sz w:val="24"/>
          <w:szCs w:val="24"/>
          <w:u w:val="single"/>
        </w:rPr>
        <w:t xml:space="preserve">Wrap Program </w:t>
      </w:r>
    </w:p>
    <w:p w14:paraId="16B56E09" w14:textId="77777777" w:rsidR="008662DD" w:rsidRPr="00044AE2" w:rsidRDefault="00985812" w:rsidP="00D15F5E">
      <w:pPr>
        <w:spacing w:after="120"/>
        <w:rPr>
          <w:rFonts w:asciiTheme="minorHAnsi" w:hAnsiTheme="minorHAnsi"/>
          <w:sz w:val="24"/>
          <w:szCs w:val="24"/>
        </w:rPr>
      </w:pPr>
      <w:r w:rsidRPr="00044AE2">
        <w:rPr>
          <w:rFonts w:asciiTheme="minorHAnsi" w:hAnsiTheme="minorHAnsi"/>
          <w:sz w:val="24"/>
          <w:szCs w:val="24"/>
        </w:rPr>
        <w:t xml:space="preserve">We </w:t>
      </w:r>
      <w:r w:rsidR="00A176A6" w:rsidRPr="00044AE2">
        <w:rPr>
          <w:rFonts w:asciiTheme="minorHAnsi" w:hAnsiTheme="minorHAnsi"/>
          <w:sz w:val="24"/>
          <w:szCs w:val="24"/>
        </w:rPr>
        <w:t xml:space="preserve">do not sponsor a wrap program.  </w:t>
      </w:r>
    </w:p>
    <w:p w14:paraId="494AFC60" w14:textId="77777777" w:rsidR="00A10217" w:rsidRPr="00044AE2" w:rsidRDefault="00A176A6" w:rsidP="00D15F5E">
      <w:pPr>
        <w:spacing w:after="120"/>
        <w:rPr>
          <w:rFonts w:asciiTheme="minorHAnsi" w:hAnsiTheme="minorHAnsi"/>
          <w:smallCaps/>
          <w:sz w:val="24"/>
          <w:szCs w:val="24"/>
          <w:u w:val="single"/>
        </w:rPr>
      </w:pPr>
      <w:r w:rsidRPr="00044AE2">
        <w:rPr>
          <w:rFonts w:asciiTheme="minorHAnsi" w:hAnsiTheme="minorHAnsi"/>
          <w:smallCaps/>
          <w:sz w:val="24"/>
          <w:szCs w:val="24"/>
          <w:u w:val="single"/>
        </w:rPr>
        <w:t>Client Assets Managed</w:t>
      </w:r>
    </w:p>
    <w:p w14:paraId="5CC0D60D" w14:textId="030661EA" w:rsidR="006416B5" w:rsidRPr="00044AE2" w:rsidRDefault="00984F15" w:rsidP="00D15F5E">
      <w:pPr>
        <w:spacing w:after="240"/>
        <w:jc w:val="both"/>
        <w:rPr>
          <w:rFonts w:asciiTheme="minorHAnsi" w:eastAsia="Arial" w:hAnsiTheme="minorHAnsi"/>
          <w:sz w:val="24"/>
          <w:szCs w:val="24"/>
        </w:rPr>
      </w:pPr>
      <w:r>
        <w:rPr>
          <w:rFonts w:asciiTheme="minorHAnsi" w:eastAsia="Arial" w:hAnsiTheme="minorHAnsi"/>
          <w:sz w:val="24"/>
          <w:szCs w:val="24"/>
        </w:rPr>
        <w:t xml:space="preserve">As of </w:t>
      </w:r>
      <w:r w:rsidR="00F34DA8">
        <w:rPr>
          <w:rFonts w:asciiTheme="minorHAnsi" w:eastAsia="Arial" w:hAnsiTheme="minorHAnsi"/>
          <w:sz w:val="24"/>
          <w:szCs w:val="24"/>
        </w:rPr>
        <w:t xml:space="preserve">March </w:t>
      </w:r>
      <w:r w:rsidR="00D72251">
        <w:rPr>
          <w:rFonts w:asciiTheme="minorHAnsi" w:eastAsia="Arial" w:hAnsiTheme="minorHAnsi"/>
          <w:sz w:val="24"/>
          <w:szCs w:val="24"/>
        </w:rPr>
        <w:t>21</w:t>
      </w:r>
      <w:r w:rsidR="00F34DA8">
        <w:rPr>
          <w:rFonts w:asciiTheme="minorHAnsi" w:eastAsia="Arial" w:hAnsiTheme="minorHAnsi"/>
          <w:sz w:val="24"/>
          <w:szCs w:val="24"/>
        </w:rPr>
        <w:t>, 2025</w:t>
      </w:r>
      <w:r w:rsidR="00DC3B77">
        <w:rPr>
          <w:rFonts w:asciiTheme="minorHAnsi" w:eastAsia="Arial" w:hAnsiTheme="minorHAnsi"/>
          <w:sz w:val="24"/>
          <w:szCs w:val="24"/>
        </w:rPr>
        <w:t>,</w:t>
      </w:r>
      <w:r>
        <w:rPr>
          <w:rFonts w:asciiTheme="minorHAnsi" w:eastAsia="Arial" w:hAnsiTheme="minorHAnsi"/>
          <w:sz w:val="24"/>
          <w:szCs w:val="24"/>
        </w:rPr>
        <w:t xml:space="preserve"> we manage </w:t>
      </w:r>
      <w:r w:rsidR="00EE416D">
        <w:rPr>
          <w:rFonts w:asciiTheme="minorHAnsi" w:eastAsia="Arial" w:hAnsiTheme="minorHAnsi"/>
          <w:sz w:val="24"/>
          <w:szCs w:val="24"/>
        </w:rPr>
        <w:t>$</w:t>
      </w:r>
      <w:r w:rsidR="00D72251">
        <w:rPr>
          <w:rFonts w:asciiTheme="minorHAnsi" w:eastAsia="Arial" w:hAnsiTheme="minorHAnsi"/>
          <w:sz w:val="24"/>
          <w:szCs w:val="24"/>
        </w:rPr>
        <w:t>2</w:t>
      </w:r>
      <w:r w:rsidR="0012038C">
        <w:rPr>
          <w:rFonts w:asciiTheme="minorHAnsi" w:eastAsia="Arial" w:hAnsiTheme="minorHAnsi"/>
          <w:sz w:val="24"/>
          <w:szCs w:val="24"/>
        </w:rPr>
        <w:t>7</w:t>
      </w:r>
      <w:r w:rsidR="009D47BC">
        <w:rPr>
          <w:rFonts w:asciiTheme="minorHAnsi" w:eastAsia="Arial" w:hAnsiTheme="minorHAnsi"/>
          <w:sz w:val="24"/>
          <w:szCs w:val="24"/>
        </w:rPr>
        <w:t>2,999,277</w:t>
      </w:r>
      <w:r w:rsidR="00A0520B">
        <w:rPr>
          <w:rFonts w:asciiTheme="minorHAnsi" w:eastAsia="Arial" w:hAnsiTheme="minorHAnsi"/>
          <w:sz w:val="24"/>
          <w:szCs w:val="24"/>
        </w:rPr>
        <w:t xml:space="preserve"> in</w:t>
      </w:r>
      <w:r w:rsidR="00DE5697">
        <w:rPr>
          <w:rFonts w:asciiTheme="minorHAnsi" w:eastAsia="Arial" w:hAnsiTheme="minorHAnsi"/>
          <w:sz w:val="24"/>
          <w:szCs w:val="24"/>
        </w:rPr>
        <w:t xml:space="preserve"> discretionary assets </w:t>
      </w:r>
      <w:r w:rsidR="00A0520B" w:rsidRPr="001B38A5">
        <w:rPr>
          <w:rFonts w:asciiTheme="minorHAnsi" w:eastAsia="Arial" w:hAnsiTheme="minorHAnsi"/>
          <w:sz w:val="24"/>
          <w:szCs w:val="24"/>
        </w:rPr>
        <w:t>and have $</w:t>
      </w:r>
      <w:r w:rsidR="00421ADB">
        <w:rPr>
          <w:rFonts w:asciiTheme="minorHAnsi" w:eastAsia="Arial" w:hAnsiTheme="minorHAnsi"/>
          <w:sz w:val="24"/>
          <w:szCs w:val="24"/>
        </w:rPr>
        <w:t>22,</w:t>
      </w:r>
      <w:r w:rsidR="0012038C">
        <w:rPr>
          <w:rFonts w:asciiTheme="minorHAnsi" w:eastAsia="Arial" w:hAnsiTheme="minorHAnsi"/>
          <w:sz w:val="24"/>
          <w:szCs w:val="24"/>
        </w:rPr>
        <w:t>46</w:t>
      </w:r>
      <w:r w:rsidR="00421ADB">
        <w:rPr>
          <w:rFonts w:asciiTheme="minorHAnsi" w:eastAsia="Arial" w:hAnsiTheme="minorHAnsi"/>
          <w:sz w:val="24"/>
          <w:szCs w:val="24"/>
        </w:rPr>
        <w:t>0,000</w:t>
      </w:r>
      <w:r w:rsidR="00A0520B" w:rsidRPr="001B38A5">
        <w:rPr>
          <w:rFonts w:asciiTheme="minorHAnsi" w:eastAsia="Arial" w:hAnsiTheme="minorHAnsi"/>
          <w:sz w:val="24"/>
          <w:szCs w:val="24"/>
        </w:rPr>
        <w:t xml:space="preserve"> in</w:t>
      </w:r>
      <w:r w:rsidR="00A0520B">
        <w:rPr>
          <w:rFonts w:asciiTheme="minorHAnsi" w:eastAsia="Arial" w:hAnsiTheme="minorHAnsi"/>
          <w:sz w:val="24"/>
          <w:szCs w:val="24"/>
        </w:rPr>
        <w:t xml:space="preserve"> assets under advisement. </w:t>
      </w:r>
      <w:r w:rsidR="00DE5697">
        <w:rPr>
          <w:rFonts w:asciiTheme="minorHAnsi" w:eastAsia="Arial" w:hAnsiTheme="minorHAnsi"/>
          <w:sz w:val="24"/>
          <w:szCs w:val="24"/>
        </w:rPr>
        <w:t xml:space="preserve"> </w:t>
      </w:r>
    </w:p>
    <w:p w14:paraId="6CE08F21" w14:textId="77777777" w:rsidR="00E25359" w:rsidRPr="00191618" w:rsidRDefault="00E25359" w:rsidP="00D879DC">
      <w:pPr>
        <w:pStyle w:val="Heading1"/>
        <w:spacing w:before="0" w:after="120"/>
        <w:rPr>
          <w:rFonts w:asciiTheme="majorHAnsi" w:hAnsiTheme="majorHAnsi" w:cstheme="majorHAnsi"/>
          <w:color w:val="1F4E79" w:themeColor="accent1" w:themeShade="80"/>
        </w:rPr>
      </w:pPr>
      <w:bookmarkStart w:id="4" w:name="_Toc193370242"/>
      <w:r w:rsidRPr="00191618">
        <w:rPr>
          <w:rFonts w:asciiTheme="majorHAnsi" w:hAnsiTheme="majorHAnsi" w:cstheme="majorHAnsi"/>
          <w:color w:val="1F4E79" w:themeColor="accent1" w:themeShade="80"/>
        </w:rPr>
        <w:t>Item 5 – Fees and Compensation</w:t>
      </w:r>
      <w:bookmarkEnd w:id="4"/>
    </w:p>
    <w:p w14:paraId="10808853" w14:textId="3617C556" w:rsidR="0036507A" w:rsidRPr="0036507A" w:rsidRDefault="00A36448" w:rsidP="0036507A">
      <w:pPr>
        <w:autoSpaceDE w:val="0"/>
        <w:autoSpaceDN w:val="0"/>
        <w:adjustRightInd w:val="0"/>
        <w:spacing w:after="120"/>
        <w:jc w:val="both"/>
        <w:rPr>
          <w:rFonts w:asciiTheme="minorHAnsi" w:eastAsia="Arial" w:hAnsiTheme="minorHAnsi"/>
          <w:smallCaps/>
          <w:spacing w:val="1"/>
          <w:sz w:val="24"/>
          <w:szCs w:val="24"/>
          <w:u w:val="single"/>
        </w:rPr>
      </w:pPr>
      <w:r>
        <w:rPr>
          <w:rFonts w:asciiTheme="minorHAnsi" w:eastAsia="Arial" w:hAnsiTheme="minorHAnsi"/>
          <w:smallCaps/>
          <w:spacing w:val="1"/>
          <w:sz w:val="24"/>
          <w:szCs w:val="24"/>
          <w:u w:val="single"/>
        </w:rPr>
        <w:t>Investment Management</w:t>
      </w:r>
      <w:r w:rsidR="00B455A5">
        <w:rPr>
          <w:rFonts w:asciiTheme="minorHAnsi" w:eastAsia="Arial" w:hAnsiTheme="minorHAnsi"/>
          <w:smallCaps/>
          <w:spacing w:val="1"/>
          <w:sz w:val="24"/>
          <w:szCs w:val="24"/>
          <w:u w:val="single"/>
        </w:rPr>
        <w:t>,</w:t>
      </w:r>
      <w:r w:rsidR="0084250D">
        <w:rPr>
          <w:rFonts w:asciiTheme="minorHAnsi" w:eastAsia="Arial" w:hAnsiTheme="minorHAnsi"/>
          <w:smallCaps/>
          <w:spacing w:val="1"/>
          <w:sz w:val="24"/>
          <w:szCs w:val="24"/>
          <w:u w:val="single"/>
        </w:rPr>
        <w:t xml:space="preserve"> Use of Sub-Adviser Services</w:t>
      </w:r>
      <w:r w:rsidR="00B455A5">
        <w:rPr>
          <w:rFonts w:asciiTheme="minorHAnsi" w:eastAsia="Arial" w:hAnsiTheme="minorHAnsi"/>
          <w:smallCaps/>
          <w:spacing w:val="1"/>
          <w:sz w:val="24"/>
          <w:szCs w:val="24"/>
          <w:u w:val="single"/>
        </w:rPr>
        <w:t>, and Retirement Plan Consulting</w:t>
      </w:r>
    </w:p>
    <w:p w14:paraId="7DDFE018" w14:textId="591A347F" w:rsidR="007A142A" w:rsidRPr="007A142A" w:rsidRDefault="0036507A" w:rsidP="007A142A">
      <w:pPr>
        <w:spacing w:after="120"/>
        <w:jc w:val="both"/>
        <w:rPr>
          <w:rFonts w:asciiTheme="minorHAnsi" w:eastAsia="Arial" w:hAnsiTheme="minorHAnsi"/>
          <w:spacing w:val="2"/>
          <w:sz w:val="24"/>
          <w:szCs w:val="24"/>
        </w:rPr>
      </w:pPr>
      <w:r>
        <w:rPr>
          <w:rFonts w:asciiTheme="minorHAnsi" w:eastAsia="Arial" w:hAnsiTheme="minorHAnsi"/>
          <w:spacing w:val="2"/>
          <w:sz w:val="24"/>
          <w:szCs w:val="24"/>
        </w:rPr>
        <w:t xml:space="preserve">We charge an annual fee based on the percentage of assets under management as reported by the custodian.  Our annual management fee is based on the following fee schedule: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2923"/>
      </w:tblGrid>
      <w:tr w:rsidR="007A142A" w:rsidRPr="007A142A" w14:paraId="7801F987" w14:textId="77777777" w:rsidTr="00606361">
        <w:trPr>
          <w:jc w:val="center"/>
        </w:trPr>
        <w:tc>
          <w:tcPr>
            <w:tcW w:w="3358" w:type="dxa"/>
            <w:shd w:val="clear" w:color="auto" w:fill="D0CECE" w:themeFill="background2" w:themeFillShade="E6"/>
          </w:tcPr>
          <w:p w14:paraId="10A4E358" w14:textId="77777777" w:rsidR="007A142A" w:rsidRPr="007A142A" w:rsidRDefault="007A142A" w:rsidP="007A142A">
            <w:pPr>
              <w:widowControl w:val="0"/>
              <w:tabs>
                <w:tab w:val="center" w:pos="4320"/>
                <w:tab w:val="right" w:pos="8640"/>
              </w:tabs>
              <w:jc w:val="center"/>
              <w:rPr>
                <w:rFonts w:asciiTheme="minorHAnsi" w:hAnsiTheme="minorHAnsi" w:cstheme="minorHAnsi"/>
                <w:b/>
                <w:sz w:val="24"/>
                <w:szCs w:val="24"/>
              </w:rPr>
            </w:pPr>
            <w:r w:rsidRPr="007A142A">
              <w:rPr>
                <w:rFonts w:asciiTheme="minorHAnsi" w:hAnsiTheme="minorHAnsi" w:cstheme="minorHAnsi"/>
                <w:b/>
                <w:sz w:val="24"/>
                <w:szCs w:val="24"/>
              </w:rPr>
              <w:t>Account Value</w:t>
            </w:r>
          </w:p>
        </w:tc>
        <w:tc>
          <w:tcPr>
            <w:tcW w:w="2923" w:type="dxa"/>
            <w:shd w:val="clear" w:color="auto" w:fill="D0CECE" w:themeFill="background2" w:themeFillShade="E6"/>
          </w:tcPr>
          <w:p w14:paraId="20B26CBB" w14:textId="77777777" w:rsidR="007A142A" w:rsidRPr="007A142A" w:rsidRDefault="007A142A" w:rsidP="007A142A">
            <w:pPr>
              <w:widowControl w:val="0"/>
              <w:tabs>
                <w:tab w:val="center" w:pos="4320"/>
                <w:tab w:val="right" w:pos="8640"/>
              </w:tabs>
              <w:jc w:val="center"/>
              <w:rPr>
                <w:rFonts w:asciiTheme="minorHAnsi" w:hAnsiTheme="minorHAnsi" w:cstheme="minorHAnsi"/>
                <w:b/>
                <w:sz w:val="24"/>
                <w:szCs w:val="24"/>
              </w:rPr>
            </w:pPr>
            <w:r w:rsidRPr="007A142A">
              <w:rPr>
                <w:rFonts w:asciiTheme="minorHAnsi" w:hAnsiTheme="minorHAnsi" w:cstheme="minorHAnsi"/>
                <w:b/>
                <w:sz w:val="24"/>
                <w:szCs w:val="24"/>
              </w:rPr>
              <w:t>Annual Management Fee</w:t>
            </w:r>
          </w:p>
        </w:tc>
      </w:tr>
      <w:tr w:rsidR="007A142A" w:rsidRPr="007A142A" w14:paraId="1CE429C0" w14:textId="77777777" w:rsidTr="00746D9B">
        <w:trPr>
          <w:jc w:val="center"/>
        </w:trPr>
        <w:tc>
          <w:tcPr>
            <w:tcW w:w="3358" w:type="dxa"/>
          </w:tcPr>
          <w:p w14:paraId="7ECEA7B3" w14:textId="3739B6BA" w:rsidR="007A142A" w:rsidRPr="007A142A" w:rsidRDefault="00573C37" w:rsidP="007A142A">
            <w:pPr>
              <w:widowControl w:val="0"/>
              <w:tabs>
                <w:tab w:val="center" w:pos="4320"/>
                <w:tab w:val="right" w:pos="8640"/>
              </w:tabs>
              <w:jc w:val="center"/>
              <w:rPr>
                <w:rFonts w:asciiTheme="minorHAnsi" w:hAnsiTheme="minorHAnsi" w:cstheme="minorHAnsi"/>
                <w:sz w:val="24"/>
                <w:szCs w:val="24"/>
              </w:rPr>
            </w:pPr>
            <w:r>
              <w:rPr>
                <w:rFonts w:asciiTheme="minorHAnsi" w:hAnsiTheme="minorHAnsi" w:cstheme="minorHAnsi"/>
                <w:sz w:val="24"/>
                <w:szCs w:val="24"/>
              </w:rPr>
              <w:t>$0 – $</w:t>
            </w:r>
            <w:r w:rsidR="0036507A">
              <w:rPr>
                <w:rFonts w:asciiTheme="minorHAnsi" w:hAnsiTheme="minorHAnsi" w:cstheme="minorHAnsi"/>
                <w:sz w:val="24"/>
                <w:szCs w:val="24"/>
              </w:rPr>
              <w:t>500,000</w:t>
            </w:r>
          </w:p>
        </w:tc>
        <w:tc>
          <w:tcPr>
            <w:tcW w:w="2923" w:type="dxa"/>
          </w:tcPr>
          <w:p w14:paraId="59048160" w14:textId="67763C45" w:rsidR="007A142A" w:rsidRPr="007A142A" w:rsidRDefault="0036507A" w:rsidP="007A142A">
            <w:pPr>
              <w:widowControl w:val="0"/>
              <w:tabs>
                <w:tab w:val="center" w:pos="4320"/>
                <w:tab w:val="right" w:pos="8640"/>
              </w:tabs>
              <w:jc w:val="center"/>
              <w:rPr>
                <w:rFonts w:asciiTheme="minorHAnsi" w:hAnsiTheme="minorHAnsi" w:cstheme="minorHAnsi"/>
                <w:sz w:val="24"/>
                <w:szCs w:val="24"/>
              </w:rPr>
            </w:pPr>
            <w:r>
              <w:rPr>
                <w:rFonts w:asciiTheme="minorHAnsi" w:hAnsiTheme="minorHAnsi" w:cstheme="minorHAnsi"/>
                <w:sz w:val="24"/>
                <w:szCs w:val="24"/>
              </w:rPr>
              <w:t>1.15%</w:t>
            </w:r>
          </w:p>
        </w:tc>
      </w:tr>
      <w:tr w:rsidR="007A142A" w:rsidRPr="007A142A" w14:paraId="2258BFA5" w14:textId="77777777" w:rsidTr="00746D9B">
        <w:trPr>
          <w:jc w:val="center"/>
        </w:trPr>
        <w:tc>
          <w:tcPr>
            <w:tcW w:w="3358" w:type="dxa"/>
          </w:tcPr>
          <w:p w14:paraId="78227779" w14:textId="3DA45BAF" w:rsidR="007A142A" w:rsidRPr="007A142A" w:rsidRDefault="0036507A" w:rsidP="007A142A">
            <w:pPr>
              <w:widowControl w:val="0"/>
              <w:tabs>
                <w:tab w:val="center" w:pos="4320"/>
                <w:tab w:val="right" w:pos="8640"/>
              </w:tabs>
              <w:jc w:val="center"/>
              <w:rPr>
                <w:rFonts w:asciiTheme="minorHAnsi" w:hAnsiTheme="minorHAnsi" w:cstheme="minorHAnsi"/>
                <w:sz w:val="24"/>
                <w:szCs w:val="24"/>
              </w:rPr>
            </w:pPr>
            <w:r>
              <w:rPr>
                <w:rFonts w:asciiTheme="minorHAnsi" w:hAnsiTheme="minorHAnsi" w:cstheme="minorHAnsi"/>
                <w:sz w:val="24"/>
                <w:szCs w:val="24"/>
              </w:rPr>
              <w:t>$500,001 - $1,000,000</w:t>
            </w:r>
          </w:p>
        </w:tc>
        <w:tc>
          <w:tcPr>
            <w:tcW w:w="2923" w:type="dxa"/>
          </w:tcPr>
          <w:p w14:paraId="5D4E5D28" w14:textId="38DC20E8" w:rsidR="007A142A" w:rsidRPr="007A142A" w:rsidRDefault="0036507A" w:rsidP="007A142A">
            <w:pPr>
              <w:widowControl w:val="0"/>
              <w:tabs>
                <w:tab w:val="center" w:pos="4320"/>
                <w:tab w:val="right" w:pos="8640"/>
              </w:tabs>
              <w:jc w:val="center"/>
              <w:rPr>
                <w:rFonts w:asciiTheme="minorHAnsi" w:hAnsiTheme="minorHAnsi" w:cstheme="minorHAnsi"/>
                <w:sz w:val="24"/>
                <w:szCs w:val="24"/>
              </w:rPr>
            </w:pPr>
            <w:r>
              <w:rPr>
                <w:rFonts w:asciiTheme="minorHAnsi" w:hAnsiTheme="minorHAnsi" w:cstheme="minorHAnsi"/>
                <w:sz w:val="24"/>
                <w:szCs w:val="24"/>
              </w:rPr>
              <w:t>0.85%</w:t>
            </w:r>
          </w:p>
        </w:tc>
      </w:tr>
      <w:tr w:rsidR="0036507A" w:rsidRPr="007A142A" w14:paraId="1896E89B" w14:textId="77777777" w:rsidTr="00746D9B">
        <w:trPr>
          <w:jc w:val="center"/>
        </w:trPr>
        <w:tc>
          <w:tcPr>
            <w:tcW w:w="3358" w:type="dxa"/>
          </w:tcPr>
          <w:p w14:paraId="49F9F53C" w14:textId="708F65BE" w:rsidR="0036507A" w:rsidRDefault="0036507A" w:rsidP="007A142A">
            <w:pPr>
              <w:widowControl w:val="0"/>
              <w:tabs>
                <w:tab w:val="center" w:pos="4320"/>
                <w:tab w:val="right" w:pos="8640"/>
              </w:tabs>
              <w:jc w:val="center"/>
              <w:rPr>
                <w:rFonts w:asciiTheme="minorHAnsi" w:hAnsiTheme="minorHAnsi" w:cstheme="minorHAnsi"/>
                <w:sz w:val="24"/>
                <w:szCs w:val="24"/>
              </w:rPr>
            </w:pPr>
            <w:r>
              <w:rPr>
                <w:rFonts w:asciiTheme="minorHAnsi" w:hAnsiTheme="minorHAnsi" w:cstheme="minorHAnsi"/>
                <w:sz w:val="24"/>
                <w:szCs w:val="24"/>
              </w:rPr>
              <w:t xml:space="preserve">Above $1,000,000 </w:t>
            </w:r>
          </w:p>
        </w:tc>
        <w:tc>
          <w:tcPr>
            <w:tcW w:w="2923" w:type="dxa"/>
          </w:tcPr>
          <w:p w14:paraId="1541CE60" w14:textId="7BBEF297" w:rsidR="0036507A" w:rsidRDefault="0036507A" w:rsidP="007A142A">
            <w:pPr>
              <w:widowControl w:val="0"/>
              <w:tabs>
                <w:tab w:val="center" w:pos="4320"/>
                <w:tab w:val="right" w:pos="8640"/>
              </w:tabs>
              <w:jc w:val="center"/>
              <w:rPr>
                <w:rFonts w:asciiTheme="minorHAnsi" w:hAnsiTheme="minorHAnsi" w:cstheme="minorHAnsi"/>
                <w:sz w:val="24"/>
                <w:szCs w:val="24"/>
              </w:rPr>
            </w:pPr>
            <w:r>
              <w:rPr>
                <w:rFonts w:asciiTheme="minorHAnsi" w:hAnsiTheme="minorHAnsi" w:cstheme="minorHAnsi"/>
                <w:sz w:val="24"/>
                <w:szCs w:val="24"/>
              </w:rPr>
              <w:t>0.60%</w:t>
            </w:r>
          </w:p>
        </w:tc>
      </w:tr>
    </w:tbl>
    <w:p w14:paraId="41BCD6F0" w14:textId="0DC918F6" w:rsidR="007A142A" w:rsidRDefault="00A36448" w:rsidP="007A142A">
      <w:pPr>
        <w:spacing w:before="120" w:after="120"/>
        <w:jc w:val="both"/>
        <w:rPr>
          <w:rFonts w:asciiTheme="minorHAnsi" w:eastAsia="Arial" w:hAnsiTheme="minorHAnsi"/>
          <w:sz w:val="24"/>
          <w:szCs w:val="24"/>
        </w:rPr>
      </w:pPr>
      <w:r>
        <w:rPr>
          <w:rFonts w:asciiTheme="minorHAnsi" w:eastAsia="Arial" w:hAnsiTheme="minorHAnsi"/>
          <w:spacing w:val="2"/>
          <w:sz w:val="24"/>
          <w:szCs w:val="24"/>
        </w:rPr>
        <w:t>The</w:t>
      </w:r>
      <w:r w:rsidR="0084250D">
        <w:rPr>
          <w:rFonts w:asciiTheme="minorHAnsi" w:eastAsia="Arial" w:hAnsiTheme="minorHAnsi"/>
          <w:spacing w:val="2"/>
          <w:sz w:val="24"/>
          <w:szCs w:val="24"/>
        </w:rPr>
        <w:t xml:space="preserve"> fee will be calculated and collected quarterly, in arrears based on the average daily market value of the assets held in the account over the calendar quarter.</w:t>
      </w:r>
      <w:r>
        <w:rPr>
          <w:rFonts w:asciiTheme="minorHAnsi" w:hAnsiTheme="minorHAnsi"/>
          <w:sz w:val="24"/>
          <w:szCs w:val="24"/>
        </w:rPr>
        <w:t xml:space="preserve"> The fee may be negotiable. </w:t>
      </w:r>
      <w:r w:rsidR="007A142A" w:rsidRPr="007A142A">
        <w:rPr>
          <w:rFonts w:asciiTheme="minorHAnsi" w:hAnsiTheme="minorHAnsi"/>
          <w:sz w:val="24"/>
          <w:szCs w:val="24"/>
        </w:rPr>
        <w:t xml:space="preserve">Cash balances and investments in money market funds are counted toward the account value and are included in the management fee calculations. </w:t>
      </w:r>
    </w:p>
    <w:p w14:paraId="3BFD7D64" w14:textId="5E504CAB" w:rsidR="0066750F" w:rsidRDefault="00A36448" w:rsidP="007A142A">
      <w:pPr>
        <w:spacing w:before="120" w:after="120"/>
        <w:jc w:val="both"/>
        <w:rPr>
          <w:rFonts w:asciiTheme="minorHAnsi" w:eastAsia="Arial" w:hAnsiTheme="minorHAnsi"/>
          <w:sz w:val="24"/>
          <w:szCs w:val="24"/>
        </w:rPr>
      </w:pPr>
      <w:r>
        <w:rPr>
          <w:rFonts w:asciiTheme="minorHAnsi" w:eastAsia="Arial" w:hAnsiTheme="minorHAnsi"/>
          <w:sz w:val="24"/>
          <w:szCs w:val="24"/>
        </w:rPr>
        <w:t xml:space="preserve">Unless otherwise stated in your investment management agreement, when the services of a sub-adviser are used, our management fee will include the sub-adviser’s management. </w:t>
      </w:r>
      <w:r w:rsidR="0066750F">
        <w:rPr>
          <w:rFonts w:asciiTheme="minorHAnsi" w:eastAsia="Arial" w:hAnsiTheme="minorHAnsi"/>
          <w:sz w:val="24"/>
          <w:szCs w:val="24"/>
        </w:rPr>
        <w:t>The sub-adviser’s fee will be acknowledged and disclosed to you in the investment management agreement and their Form ADV Part 2A.</w:t>
      </w:r>
      <w:r w:rsidR="0084250D">
        <w:rPr>
          <w:rFonts w:asciiTheme="minorHAnsi" w:eastAsia="Arial" w:hAnsiTheme="minorHAnsi"/>
          <w:sz w:val="24"/>
          <w:szCs w:val="24"/>
        </w:rPr>
        <w:t xml:space="preserve"> </w:t>
      </w:r>
    </w:p>
    <w:p w14:paraId="532D40A3" w14:textId="23CB7012" w:rsidR="0084250D" w:rsidRDefault="00A36448" w:rsidP="007A142A">
      <w:pPr>
        <w:spacing w:before="120" w:after="120"/>
        <w:jc w:val="both"/>
        <w:rPr>
          <w:rFonts w:asciiTheme="minorHAnsi" w:eastAsia="Arial" w:hAnsiTheme="minorHAnsi"/>
          <w:sz w:val="24"/>
          <w:szCs w:val="24"/>
        </w:rPr>
      </w:pPr>
      <w:r>
        <w:rPr>
          <w:rFonts w:asciiTheme="minorHAnsi" w:eastAsia="Arial" w:hAnsiTheme="minorHAnsi"/>
          <w:sz w:val="24"/>
          <w:szCs w:val="24"/>
        </w:rPr>
        <w:t xml:space="preserve">You will be asked to authorize us or the sub-adviser with the ability to instruct the custodian to directly deduct our management fee and the sub-adviser’s fee from your account. </w:t>
      </w:r>
    </w:p>
    <w:p w14:paraId="38D8DE10" w14:textId="12678D76" w:rsidR="00172B63" w:rsidRPr="007A142A" w:rsidRDefault="001328A9" w:rsidP="007A142A">
      <w:pPr>
        <w:spacing w:before="120" w:after="120"/>
        <w:jc w:val="both"/>
        <w:rPr>
          <w:rFonts w:asciiTheme="minorHAnsi" w:eastAsia="Arial" w:hAnsiTheme="minorHAnsi"/>
          <w:sz w:val="24"/>
          <w:szCs w:val="24"/>
        </w:rPr>
      </w:pPr>
      <w:r>
        <w:rPr>
          <w:rFonts w:asciiTheme="minorHAnsi" w:eastAsia="Arial" w:hAnsiTheme="minorHAnsi"/>
          <w:sz w:val="24"/>
          <w:szCs w:val="24"/>
        </w:rPr>
        <w:t>Financial consulting fees are included in the investment management service fees above.  However, on occasion we may offer this as a separate service where we charge a fixed fee that ranges from $100 to $3,000.  The agreed upon fee will be due upon completion of the engagement.</w:t>
      </w:r>
    </w:p>
    <w:p w14:paraId="6E3EA1F1" w14:textId="25D89480" w:rsidR="007419BD" w:rsidRDefault="0094483F" w:rsidP="007A142A">
      <w:pPr>
        <w:autoSpaceDE w:val="0"/>
        <w:autoSpaceDN w:val="0"/>
        <w:adjustRightInd w:val="0"/>
        <w:spacing w:after="120"/>
        <w:jc w:val="both"/>
        <w:rPr>
          <w:rFonts w:asciiTheme="minorHAnsi" w:hAnsiTheme="minorHAnsi" w:cstheme="minorHAnsi"/>
          <w:sz w:val="24"/>
          <w:szCs w:val="24"/>
        </w:rPr>
      </w:pPr>
      <w:r>
        <w:rPr>
          <w:rFonts w:asciiTheme="minorHAnsi" w:hAnsiTheme="minorHAnsi" w:cstheme="minorHAnsi"/>
          <w:sz w:val="24"/>
          <w:szCs w:val="24"/>
        </w:rPr>
        <w:t>Additionally, you may incur certain charges imposed by custodians, brokers, a</w:t>
      </w:r>
      <w:r w:rsidR="00306FC4">
        <w:rPr>
          <w:rFonts w:asciiTheme="minorHAnsi" w:hAnsiTheme="minorHAnsi" w:cstheme="minorHAnsi"/>
          <w:sz w:val="24"/>
          <w:szCs w:val="24"/>
        </w:rPr>
        <w:t>n</w:t>
      </w:r>
      <w:r>
        <w:rPr>
          <w:rFonts w:asciiTheme="minorHAnsi" w:hAnsiTheme="minorHAnsi" w:cstheme="minorHAnsi"/>
          <w:sz w:val="24"/>
          <w:szCs w:val="24"/>
        </w:rPr>
        <w:t>d other third parties such as fee charged by ticket charges, managers, custodian fees, deferred sales charges, odd-lot differentials, transfer taxes, wire transfer and electron</w:t>
      </w:r>
      <w:r w:rsidR="00EC589D">
        <w:rPr>
          <w:rFonts w:asciiTheme="minorHAnsi" w:hAnsiTheme="minorHAnsi" w:cstheme="minorHAnsi"/>
          <w:sz w:val="24"/>
          <w:szCs w:val="24"/>
        </w:rPr>
        <w:t>ic</w:t>
      </w:r>
      <w:r>
        <w:rPr>
          <w:rFonts w:asciiTheme="minorHAnsi" w:hAnsiTheme="minorHAnsi" w:cstheme="minorHAnsi"/>
          <w:sz w:val="24"/>
          <w:szCs w:val="24"/>
        </w:rPr>
        <w:t xml:space="preserve"> fund fees, and other fees and taxes on brokerage accounts and securities transactions.  Mutual funds and exchange traded funds also charge internal management fee, which are disclosed in a fund’s prospectus.  Such charges, fees and commissions are exclusive of, and in addition to, our fee and we will not receive </w:t>
      </w:r>
      <w:r>
        <w:rPr>
          <w:rFonts w:asciiTheme="minorHAnsi" w:hAnsiTheme="minorHAnsi" w:cstheme="minorHAnsi"/>
          <w:sz w:val="24"/>
          <w:szCs w:val="24"/>
        </w:rPr>
        <w:lastRenderedPageBreak/>
        <w:t>any portion of these commissions, fees, and costs</w:t>
      </w:r>
      <w:r w:rsidR="007A142A" w:rsidRPr="007A142A">
        <w:rPr>
          <w:rFonts w:asciiTheme="minorHAnsi" w:hAnsiTheme="minorHAnsi" w:cstheme="minorHAnsi"/>
          <w:sz w:val="24"/>
          <w:szCs w:val="24"/>
        </w:rPr>
        <w:t>.  For more information about our brokerage practice please see Item 12.A.</w:t>
      </w:r>
    </w:p>
    <w:p w14:paraId="1019F559" w14:textId="4B1FD7C6" w:rsidR="007419BD" w:rsidRPr="00A24BE9" w:rsidRDefault="007419BD" w:rsidP="007419BD">
      <w:pPr>
        <w:autoSpaceDE w:val="0"/>
        <w:autoSpaceDN w:val="0"/>
        <w:adjustRightInd w:val="0"/>
        <w:spacing w:after="120"/>
        <w:jc w:val="both"/>
        <w:rPr>
          <w:rFonts w:asciiTheme="minorHAnsi" w:eastAsia="Arial" w:hAnsiTheme="minorHAnsi"/>
          <w:smallCaps/>
          <w:spacing w:val="1"/>
          <w:sz w:val="24"/>
          <w:szCs w:val="24"/>
          <w:u w:val="single"/>
        </w:rPr>
      </w:pPr>
      <w:r>
        <w:rPr>
          <w:rFonts w:asciiTheme="minorHAnsi" w:eastAsia="Arial" w:hAnsiTheme="minorHAnsi"/>
          <w:smallCaps/>
          <w:spacing w:val="1"/>
          <w:sz w:val="24"/>
          <w:szCs w:val="24"/>
          <w:u w:val="single"/>
        </w:rPr>
        <w:t>Termination of Services</w:t>
      </w:r>
    </w:p>
    <w:p w14:paraId="6D2A7010" w14:textId="6C0331F8" w:rsidR="007419BD" w:rsidRPr="007419BD" w:rsidRDefault="007419BD" w:rsidP="007A142A">
      <w:pPr>
        <w:autoSpaceDE w:val="0"/>
        <w:autoSpaceDN w:val="0"/>
        <w:adjustRightInd w:val="0"/>
        <w:spacing w:after="120"/>
        <w:jc w:val="both"/>
        <w:rPr>
          <w:rFonts w:asciiTheme="minorHAnsi" w:hAnsiTheme="minorHAnsi" w:cstheme="minorHAnsi"/>
          <w:sz w:val="24"/>
          <w:szCs w:val="24"/>
        </w:rPr>
      </w:pPr>
      <w:r>
        <w:rPr>
          <w:rFonts w:asciiTheme="minorHAnsi" w:hAnsiTheme="minorHAnsi" w:cstheme="minorHAnsi"/>
          <w:sz w:val="24"/>
          <w:szCs w:val="24"/>
        </w:rPr>
        <w:t xml:space="preserve">You may terminate any service for any reason within the first five (5) business days after signing an advisory contract, without any cost of penalty.  Thereafter, the advisory contract may be terminated at any time by giving ten (10) days’ written notice.  To cancel the agreement, you must notify us in writing at TFP Management, LLC, 3475 Utica Ridge Rd., Bettendorf, IA 52722.  </w:t>
      </w:r>
    </w:p>
    <w:p w14:paraId="603EA022" w14:textId="77777777" w:rsidR="007811B4" w:rsidRDefault="007811B4" w:rsidP="007811B4">
      <w:pPr>
        <w:autoSpaceDE w:val="0"/>
        <w:autoSpaceDN w:val="0"/>
        <w:adjustRightInd w:val="0"/>
        <w:spacing w:after="120"/>
        <w:jc w:val="both"/>
        <w:rPr>
          <w:rFonts w:asciiTheme="minorHAnsi" w:eastAsia="Arial" w:hAnsiTheme="minorHAnsi"/>
          <w:smallCaps/>
          <w:spacing w:val="1"/>
          <w:sz w:val="24"/>
          <w:szCs w:val="24"/>
          <w:u w:val="single"/>
        </w:rPr>
      </w:pPr>
      <w:bookmarkStart w:id="5" w:name="_Hlk515865767"/>
      <w:r>
        <w:rPr>
          <w:rFonts w:asciiTheme="minorHAnsi" w:eastAsia="Arial" w:hAnsiTheme="minorHAnsi"/>
          <w:smallCaps/>
          <w:spacing w:val="1"/>
          <w:sz w:val="24"/>
          <w:szCs w:val="24"/>
          <w:u w:val="single"/>
        </w:rPr>
        <w:t>Other Securities Compensation</w:t>
      </w:r>
    </w:p>
    <w:bookmarkEnd w:id="5"/>
    <w:p w14:paraId="5D920F7E" w14:textId="77777777" w:rsidR="003834A4" w:rsidRDefault="002C743A" w:rsidP="00794A52">
      <w:pPr>
        <w:spacing w:after="120"/>
        <w:jc w:val="both"/>
        <w:rPr>
          <w:sz w:val="24"/>
          <w:szCs w:val="24"/>
        </w:rPr>
      </w:pPr>
      <w:r>
        <w:rPr>
          <w:sz w:val="24"/>
          <w:szCs w:val="24"/>
        </w:rPr>
        <w:t xml:space="preserve">We have no other securities compensation to report.  </w:t>
      </w:r>
    </w:p>
    <w:p w14:paraId="33C6291A" w14:textId="77777777" w:rsidR="00D94EE0" w:rsidRPr="00D94EE0" w:rsidRDefault="00D94EE0" w:rsidP="00D94EE0">
      <w:pPr>
        <w:pStyle w:val="Header"/>
        <w:spacing w:after="120"/>
        <w:jc w:val="both"/>
        <w:rPr>
          <w:rFonts w:asciiTheme="minorHAnsi" w:hAnsiTheme="minorHAnsi" w:cstheme="minorHAnsi"/>
          <w:smallCaps/>
          <w:sz w:val="24"/>
          <w:szCs w:val="24"/>
        </w:rPr>
      </w:pPr>
      <w:r w:rsidRPr="00D94EE0">
        <w:rPr>
          <w:rFonts w:asciiTheme="minorHAnsi" w:hAnsiTheme="minorHAnsi" w:cstheme="minorHAnsi"/>
          <w:smallCaps/>
          <w:sz w:val="24"/>
          <w:szCs w:val="24"/>
          <w:u w:val="single"/>
        </w:rPr>
        <w:t>Retirement Rollover Conflicts of Interest</w:t>
      </w:r>
    </w:p>
    <w:p w14:paraId="5423AA34" w14:textId="77777777" w:rsidR="00D94EE0" w:rsidRPr="00D94EE0" w:rsidRDefault="00D94EE0" w:rsidP="00D94EE0">
      <w:pPr>
        <w:pStyle w:val="Header"/>
        <w:spacing w:after="240"/>
        <w:jc w:val="both"/>
        <w:rPr>
          <w:rFonts w:asciiTheme="minorHAnsi" w:hAnsiTheme="minorHAnsi" w:cstheme="minorHAnsi"/>
          <w:sz w:val="24"/>
          <w:szCs w:val="24"/>
        </w:rPr>
      </w:pPr>
      <w:r w:rsidRPr="00D94EE0">
        <w:rPr>
          <w:rFonts w:asciiTheme="minorHAnsi" w:hAnsiTheme="minorHAnsi" w:cstheme="minorHAnsi"/>
          <w:sz w:val="24"/>
          <w:szCs w:val="24"/>
        </w:rPr>
        <w:t>When we recommend you rollover a retirement account for us to manage, this creates a financial incentive because we charge a fee for our services. We attempt to mitigate the conflict of interest by acting in your best interest and applying an impartial conduct standard to all rollovers. Please note that you are not und</w:t>
      </w:r>
      <w:r w:rsidRPr="00D94EE0">
        <w:rPr>
          <w:rFonts w:asciiTheme="minorHAnsi" w:hAnsiTheme="minorHAnsi" w:cstheme="minorHAnsi"/>
          <w:spacing w:val="2"/>
          <w:sz w:val="24"/>
          <w:szCs w:val="24"/>
        </w:rPr>
        <w:t>e</w:t>
      </w:r>
      <w:r w:rsidRPr="00D94EE0">
        <w:rPr>
          <w:rFonts w:asciiTheme="minorHAnsi" w:hAnsiTheme="minorHAnsi" w:cstheme="minorHAnsi"/>
          <w:sz w:val="24"/>
          <w:szCs w:val="24"/>
        </w:rPr>
        <w:t>r</w:t>
      </w:r>
      <w:r w:rsidRPr="00D94EE0">
        <w:rPr>
          <w:rFonts w:asciiTheme="minorHAnsi" w:hAnsiTheme="minorHAnsi" w:cstheme="minorHAnsi"/>
          <w:spacing w:val="-3"/>
          <w:sz w:val="24"/>
          <w:szCs w:val="24"/>
        </w:rPr>
        <w:t xml:space="preserve"> </w:t>
      </w:r>
      <w:r w:rsidRPr="00D94EE0">
        <w:rPr>
          <w:rFonts w:asciiTheme="minorHAnsi" w:hAnsiTheme="minorHAnsi" w:cstheme="minorHAnsi"/>
          <w:spacing w:val="2"/>
          <w:sz w:val="24"/>
          <w:szCs w:val="24"/>
        </w:rPr>
        <w:t>a</w:t>
      </w:r>
      <w:r w:rsidRPr="00D94EE0">
        <w:rPr>
          <w:rFonts w:asciiTheme="minorHAnsi" w:hAnsiTheme="minorHAnsi" w:cstheme="minorHAnsi"/>
          <w:spacing w:val="-5"/>
          <w:sz w:val="24"/>
          <w:szCs w:val="24"/>
        </w:rPr>
        <w:t>n</w:t>
      </w:r>
      <w:r w:rsidRPr="00D94EE0">
        <w:rPr>
          <w:rFonts w:asciiTheme="minorHAnsi" w:hAnsiTheme="minorHAnsi" w:cstheme="minorHAnsi"/>
          <w:sz w:val="24"/>
          <w:szCs w:val="24"/>
        </w:rPr>
        <w:t>y</w:t>
      </w:r>
      <w:r w:rsidRPr="00D94EE0">
        <w:rPr>
          <w:rFonts w:asciiTheme="minorHAnsi" w:hAnsiTheme="minorHAnsi" w:cstheme="minorHAnsi"/>
          <w:spacing w:val="-2"/>
          <w:sz w:val="24"/>
          <w:szCs w:val="24"/>
        </w:rPr>
        <w:t xml:space="preserve"> </w:t>
      </w:r>
      <w:r w:rsidRPr="00D94EE0">
        <w:rPr>
          <w:rFonts w:asciiTheme="minorHAnsi" w:hAnsiTheme="minorHAnsi" w:cstheme="minorHAnsi"/>
          <w:sz w:val="24"/>
          <w:szCs w:val="24"/>
        </w:rPr>
        <w:t>obl</w:t>
      </w:r>
      <w:r w:rsidRPr="00D94EE0">
        <w:rPr>
          <w:rFonts w:asciiTheme="minorHAnsi" w:hAnsiTheme="minorHAnsi" w:cstheme="minorHAnsi"/>
          <w:spacing w:val="5"/>
          <w:sz w:val="24"/>
          <w:szCs w:val="24"/>
        </w:rPr>
        <w:t>i</w:t>
      </w:r>
      <w:r w:rsidRPr="00D94EE0">
        <w:rPr>
          <w:rFonts w:asciiTheme="minorHAnsi" w:hAnsiTheme="minorHAnsi" w:cstheme="minorHAnsi"/>
          <w:spacing w:val="-7"/>
          <w:sz w:val="24"/>
          <w:szCs w:val="24"/>
        </w:rPr>
        <w:t>g</w:t>
      </w:r>
      <w:r w:rsidRPr="00D94EE0">
        <w:rPr>
          <w:rFonts w:asciiTheme="minorHAnsi" w:hAnsiTheme="minorHAnsi" w:cstheme="minorHAnsi"/>
          <w:spacing w:val="2"/>
          <w:sz w:val="24"/>
          <w:szCs w:val="24"/>
        </w:rPr>
        <w:t>a</w:t>
      </w:r>
      <w:r w:rsidRPr="00D94EE0">
        <w:rPr>
          <w:rFonts w:asciiTheme="minorHAnsi" w:hAnsiTheme="minorHAnsi" w:cstheme="minorHAnsi"/>
          <w:spacing w:val="-2"/>
          <w:sz w:val="24"/>
          <w:szCs w:val="24"/>
        </w:rPr>
        <w:t>t</w:t>
      </w:r>
      <w:r w:rsidRPr="00D94EE0">
        <w:rPr>
          <w:rFonts w:asciiTheme="minorHAnsi" w:hAnsiTheme="minorHAnsi" w:cstheme="minorHAnsi"/>
          <w:sz w:val="24"/>
          <w:szCs w:val="24"/>
        </w:rPr>
        <w:t>ion</w:t>
      </w:r>
      <w:r w:rsidRPr="00D94EE0">
        <w:rPr>
          <w:rFonts w:asciiTheme="minorHAnsi" w:hAnsiTheme="minorHAnsi" w:cstheme="minorHAnsi"/>
          <w:spacing w:val="-1"/>
          <w:sz w:val="24"/>
          <w:szCs w:val="24"/>
        </w:rPr>
        <w:t xml:space="preserve"> </w:t>
      </w:r>
      <w:r w:rsidRPr="00D94EE0">
        <w:rPr>
          <w:rFonts w:asciiTheme="minorHAnsi" w:hAnsiTheme="minorHAnsi" w:cstheme="minorHAnsi"/>
          <w:spacing w:val="-2"/>
          <w:sz w:val="24"/>
          <w:szCs w:val="24"/>
        </w:rPr>
        <w:t>t</w:t>
      </w:r>
      <w:r w:rsidRPr="00D94EE0">
        <w:rPr>
          <w:rFonts w:asciiTheme="minorHAnsi" w:hAnsiTheme="minorHAnsi" w:cstheme="minorHAnsi"/>
          <w:sz w:val="24"/>
          <w:szCs w:val="24"/>
        </w:rPr>
        <w:t>o</w:t>
      </w:r>
      <w:r w:rsidRPr="00D94EE0">
        <w:rPr>
          <w:rFonts w:asciiTheme="minorHAnsi" w:hAnsiTheme="minorHAnsi" w:cstheme="minorHAnsi"/>
          <w:spacing w:val="3"/>
          <w:sz w:val="24"/>
          <w:szCs w:val="24"/>
        </w:rPr>
        <w:t xml:space="preserve"> </w:t>
      </w:r>
      <w:r w:rsidRPr="00D94EE0">
        <w:rPr>
          <w:rFonts w:asciiTheme="minorHAnsi" w:hAnsiTheme="minorHAnsi" w:cstheme="minorHAnsi"/>
          <w:spacing w:val="-6"/>
          <w:sz w:val="24"/>
          <w:szCs w:val="24"/>
        </w:rPr>
        <w:t>r</w:t>
      </w:r>
      <w:r w:rsidRPr="00D94EE0">
        <w:rPr>
          <w:rFonts w:asciiTheme="minorHAnsi" w:hAnsiTheme="minorHAnsi" w:cstheme="minorHAnsi"/>
          <w:sz w:val="24"/>
          <w:szCs w:val="24"/>
        </w:rPr>
        <w:t>oll</w:t>
      </w:r>
      <w:r w:rsidRPr="00D94EE0">
        <w:rPr>
          <w:rFonts w:asciiTheme="minorHAnsi" w:hAnsiTheme="minorHAnsi" w:cstheme="minorHAnsi"/>
          <w:spacing w:val="3"/>
          <w:sz w:val="24"/>
          <w:szCs w:val="24"/>
        </w:rPr>
        <w:t xml:space="preserve"> </w:t>
      </w:r>
      <w:r w:rsidRPr="00D94EE0">
        <w:rPr>
          <w:rFonts w:asciiTheme="minorHAnsi" w:hAnsiTheme="minorHAnsi" w:cstheme="minorHAnsi"/>
          <w:sz w:val="24"/>
          <w:szCs w:val="24"/>
        </w:rPr>
        <w:t>ov</w:t>
      </w:r>
      <w:r w:rsidRPr="00D94EE0">
        <w:rPr>
          <w:rFonts w:asciiTheme="minorHAnsi" w:hAnsiTheme="minorHAnsi" w:cstheme="minorHAnsi"/>
          <w:spacing w:val="1"/>
          <w:sz w:val="24"/>
          <w:szCs w:val="24"/>
        </w:rPr>
        <w:t>e</w:t>
      </w:r>
      <w:r w:rsidRPr="00D94EE0">
        <w:rPr>
          <w:rFonts w:asciiTheme="minorHAnsi" w:hAnsiTheme="minorHAnsi" w:cstheme="minorHAnsi"/>
          <w:sz w:val="24"/>
          <w:szCs w:val="24"/>
        </w:rPr>
        <w:t>r</w:t>
      </w:r>
      <w:r w:rsidRPr="00D94EE0">
        <w:rPr>
          <w:rFonts w:asciiTheme="minorHAnsi" w:hAnsiTheme="minorHAnsi" w:cstheme="minorHAnsi"/>
          <w:spacing w:val="-3"/>
          <w:sz w:val="24"/>
          <w:szCs w:val="24"/>
        </w:rPr>
        <w:t xml:space="preserve"> a </w:t>
      </w:r>
      <w:r w:rsidRPr="00D94EE0">
        <w:rPr>
          <w:rFonts w:asciiTheme="minorHAnsi" w:hAnsiTheme="minorHAnsi" w:cstheme="minorHAnsi"/>
          <w:spacing w:val="-6"/>
          <w:sz w:val="24"/>
          <w:szCs w:val="24"/>
        </w:rPr>
        <w:t>r</w:t>
      </w:r>
      <w:r w:rsidRPr="00D94EE0">
        <w:rPr>
          <w:rFonts w:asciiTheme="minorHAnsi" w:hAnsiTheme="minorHAnsi" w:cstheme="minorHAnsi"/>
          <w:spacing w:val="1"/>
          <w:sz w:val="24"/>
          <w:szCs w:val="24"/>
        </w:rPr>
        <w:t>e</w:t>
      </w:r>
      <w:r w:rsidRPr="00D94EE0">
        <w:rPr>
          <w:rFonts w:asciiTheme="minorHAnsi" w:hAnsiTheme="minorHAnsi" w:cstheme="minorHAnsi"/>
          <w:spacing w:val="-2"/>
          <w:sz w:val="24"/>
          <w:szCs w:val="24"/>
        </w:rPr>
        <w:t>t</w:t>
      </w:r>
      <w:r w:rsidRPr="00D94EE0">
        <w:rPr>
          <w:rFonts w:asciiTheme="minorHAnsi" w:hAnsiTheme="minorHAnsi" w:cstheme="minorHAnsi"/>
          <w:spacing w:val="5"/>
          <w:sz w:val="24"/>
          <w:szCs w:val="24"/>
        </w:rPr>
        <w:t>i</w:t>
      </w:r>
      <w:r w:rsidRPr="00D94EE0">
        <w:rPr>
          <w:rFonts w:asciiTheme="minorHAnsi" w:hAnsiTheme="minorHAnsi" w:cstheme="minorHAnsi"/>
          <w:spacing w:val="-6"/>
          <w:sz w:val="24"/>
          <w:szCs w:val="24"/>
        </w:rPr>
        <w:t>r</w:t>
      </w:r>
      <w:r w:rsidRPr="00D94EE0">
        <w:rPr>
          <w:rFonts w:asciiTheme="minorHAnsi" w:hAnsiTheme="minorHAnsi" w:cstheme="minorHAnsi"/>
          <w:spacing w:val="1"/>
          <w:sz w:val="24"/>
          <w:szCs w:val="24"/>
        </w:rPr>
        <w:t>e</w:t>
      </w:r>
      <w:r w:rsidRPr="00D94EE0">
        <w:rPr>
          <w:rFonts w:asciiTheme="minorHAnsi" w:hAnsiTheme="minorHAnsi" w:cstheme="minorHAnsi"/>
          <w:spacing w:val="2"/>
          <w:sz w:val="24"/>
          <w:szCs w:val="24"/>
        </w:rPr>
        <w:t>m</w:t>
      </w:r>
      <w:r w:rsidRPr="00D94EE0">
        <w:rPr>
          <w:rFonts w:asciiTheme="minorHAnsi" w:hAnsiTheme="minorHAnsi" w:cstheme="minorHAnsi"/>
          <w:spacing w:val="1"/>
          <w:sz w:val="24"/>
          <w:szCs w:val="24"/>
        </w:rPr>
        <w:t>e</w:t>
      </w:r>
      <w:r w:rsidRPr="00D94EE0">
        <w:rPr>
          <w:rFonts w:asciiTheme="minorHAnsi" w:hAnsiTheme="minorHAnsi" w:cstheme="minorHAnsi"/>
          <w:sz w:val="24"/>
          <w:szCs w:val="24"/>
        </w:rPr>
        <w:t>nt</w:t>
      </w:r>
      <w:r w:rsidRPr="00D94EE0">
        <w:rPr>
          <w:rFonts w:asciiTheme="minorHAnsi" w:hAnsiTheme="minorHAnsi" w:cstheme="minorHAnsi"/>
          <w:spacing w:val="-3"/>
          <w:sz w:val="24"/>
          <w:szCs w:val="24"/>
        </w:rPr>
        <w:t xml:space="preserve"> account </w:t>
      </w:r>
      <w:r w:rsidRPr="00D94EE0">
        <w:rPr>
          <w:rFonts w:asciiTheme="minorHAnsi" w:hAnsiTheme="minorHAnsi" w:cstheme="minorHAnsi"/>
          <w:spacing w:val="-2"/>
          <w:sz w:val="24"/>
          <w:szCs w:val="24"/>
        </w:rPr>
        <w:t>t</w:t>
      </w:r>
      <w:r w:rsidRPr="00D94EE0">
        <w:rPr>
          <w:rFonts w:asciiTheme="minorHAnsi" w:hAnsiTheme="minorHAnsi" w:cstheme="minorHAnsi"/>
          <w:sz w:val="24"/>
          <w:szCs w:val="24"/>
        </w:rPr>
        <w:t>o</w:t>
      </w:r>
      <w:r w:rsidRPr="00D94EE0">
        <w:rPr>
          <w:rFonts w:asciiTheme="minorHAnsi" w:hAnsiTheme="minorHAnsi" w:cstheme="minorHAnsi"/>
          <w:spacing w:val="3"/>
          <w:sz w:val="24"/>
          <w:szCs w:val="24"/>
        </w:rPr>
        <w:t xml:space="preserve"> </w:t>
      </w:r>
      <w:r w:rsidRPr="00D94EE0">
        <w:rPr>
          <w:rFonts w:asciiTheme="minorHAnsi" w:hAnsiTheme="minorHAnsi" w:cstheme="minorHAnsi"/>
          <w:spacing w:val="2"/>
          <w:sz w:val="24"/>
          <w:szCs w:val="24"/>
        </w:rPr>
        <w:t>a</w:t>
      </w:r>
      <w:r w:rsidRPr="00D94EE0">
        <w:rPr>
          <w:rFonts w:asciiTheme="minorHAnsi" w:hAnsiTheme="minorHAnsi" w:cstheme="minorHAnsi"/>
          <w:sz w:val="24"/>
          <w:szCs w:val="24"/>
        </w:rPr>
        <w:t>n</w:t>
      </w:r>
      <w:r w:rsidRPr="00D94EE0">
        <w:rPr>
          <w:rFonts w:asciiTheme="minorHAnsi" w:hAnsiTheme="minorHAnsi" w:cstheme="minorHAnsi"/>
          <w:spacing w:val="-1"/>
          <w:sz w:val="24"/>
          <w:szCs w:val="24"/>
        </w:rPr>
        <w:t xml:space="preserve"> </w:t>
      </w:r>
      <w:r w:rsidRPr="00D94EE0">
        <w:rPr>
          <w:rFonts w:asciiTheme="minorHAnsi" w:hAnsiTheme="minorHAnsi" w:cstheme="minorHAnsi"/>
          <w:spacing w:val="2"/>
          <w:sz w:val="24"/>
          <w:szCs w:val="24"/>
        </w:rPr>
        <w:t>a</w:t>
      </w:r>
      <w:r w:rsidRPr="00D94EE0">
        <w:rPr>
          <w:rFonts w:asciiTheme="minorHAnsi" w:hAnsiTheme="minorHAnsi" w:cstheme="minorHAnsi"/>
          <w:spacing w:val="-1"/>
          <w:sz w:val="24"/>
          <w:szCs w:val="24"/>
        </w:rPr>
        <w:t>cc</w:t>
      </w:r>
      <w:r w:rsidRPr="00D94EE0">
        <w:rPr>
          <w:rFonts w:asciiTheme="minorHAnsi" w:hAnsiTheme="minorHAnsi" w:cstheme="minorHAnsi"/>
          <w:sz w:val="24"/>
          <w:szCs w:val="24"/>
        </w:rPr>
        <w:t xml:space="preserve">ount </w:t>
      </w:r>
      <w:r w:rsidRPr="00D94EE0">
        <w:rPr>
          <w:rFonts w:asciiTheme="minorHAnsi" w:hAnsiTheme="minorHAnsi" w:cstheme="minorHAnsi"/>
          <w:spacing w:val="2"/>
          <w:sz w:val="24"/>
          <w:szCs w:val="24"/>
        </w:rPr>
        <w:t>ma</w:t>
      </w:r>
      <w:r w:rsidRPr="00D94EE0">
        <w:rPr>
          <w:rFonts w:asciiTheme="minorHAnsi" w:hAnsiTheme="minorHAnsi" w:cstheme="minorHAnsi"/>
          <w:sz w:val="24"/>
          <w:szCs w:val="24"/>
        </w:rPr>
        <w:t>n</w:t>
      </w:r>
      <w:r w:rsidRPr="00D94EE0">
        <w:rPr>
          <w:rFonts w:asciiTheme="minorHAnsi" w:hAnsiTheme="minorHAnsi" w:cstheme="minorHAnsi"/>
          <w:spacing w:val="2"/>
          <w:sz w:val="24"/>
          <w:szCs w:val="24"/>
        </w:rPr>
        <w:t>a</w:t>
      </w:r>
      <w:r w:rsidRPr="00D94EE0">
        <w:rPr>
          <w:rFonts w:asciiTheme="minorHAnsi" w:hAnsiTheme="minorHAnsi" w:cstheme="minorHAnsi"/>
          <w:spacing w:val="-7"/>
          <w:sz w:val="24"/>
          <w:szCs w:val="24"/>
        </w:rPr>
        <w:t>g</w:t>
      </w:r>
      <w:r w:rsidRPr="00D94EE0">
        <w:rPr>
          <w:rFonts w:asciiTheme="minorHAnsi" w:hAnsiTheme="minorHAnsi" w:cstheme="minorHAnsi"/>
          <w:spacing w:val="1"/>
          <w:sz w:val="24"/>
          <w:szCs w:val="24"/>
        </w:rPr>
        <w:t>e</w:t>
      </w:r>
      <w:r w:rsidRPr="00D94EE0">
        <w:rPr>
          <w:rFonts w:asciiTheme="minorHAnsi" w:hAnsiTheme="minorHAnsi" w:cstheme="minorHAnsi"/>
          <w:sz w:val="24"/>
          <w:szCs w:val="24"/>
        </w:rPr>
        <w:t>d</w:t>
      </w:r>
      <w:r w:rsidRPr="00D94EE0">
        <w:rPr>
          <w:rFonts w:asciiTheme="minorHAnsi" w:hAnsiTheme="minorHAnsi" w:cstheme="minorHAnsi"/>
          <w:spacing w:val="-1"/>
          <w:sz w:val="24"/>
          <w:szCs w:val="24"/>
        </w:rPr>
        <w:t xml:space="preserve"> </w:t>
      </w:r>
      <w:r w:rsidRPr="00D94EE0">
        <w:rPr>
          <w:rFonts w:asciiTheme="minorHAnsi" w:hAnsiTheme="minorHAnsi" w:cstheme="minorHAnsi"/>
          <w:sz w:val="24"/>
          <w:szCs w:val="24"/>
        </w:rPr>
        <w:t>by</w:t>
      </w:r>
      <w:r w:rsidRPr="00D94EE0">
        <w:rPr>
          <w:rFonts w:asciiTheme="minorHAnsi" w:hAnsiTheme="minorHAnsi" w:cstheme="minorHAnsi"/>
          <w:spacing w:val="-2"/>
          <w:sz w:val="24"/>
          <w:szCs w:val="24"/>
        </w:rPr>
        <w:t xml:space="preserve"> </w:t>
      </w:r>
      <w:r w:rsidRPr="00D94EE0">
        <w:rPr>
          <w:rFonts w:asciiTheme="minorHAnsi" w:hAnsiTheme="minorHAnsi" w:cstheme="minorHAnsi"/>
          <w:spacing w:val="1"/>
          <w:sz w:val="24"/>
          <w:szCs w:val="24"/>
        </w:rPr>
        <w:t>us</w:t>
      </w:r>
      <w:r w:rsidRPr="00D94EE0">
        <w:rPr>
          <w:rFonts w:asciiTheme="minorHAnsi" w:hAnsiTheme="minorHAnsi" w:cstheme="minorHAnsi"/>
          <w:sz w:val="24"/>
          <w:szCs w:val="24"/>
        </w:rPr>
        <w:t>.</w:t>
      </w:r>
    </w:p>
    <w:p w14:paraId="47693821" w14:textId="77777777" w:rsidR="00B70CF0" w:rsidRPr="00191618" w:rsidRDefault="00B70CF0" w:rsidP="00D15F5E">
      <w:pPr>
        <w:pStyle w:val="Heading1"/>
        <w:spacing w:before="0"/>
        <w:rPr>
          <w:rFonts w:asciiTheme="majorHAnsi" w:hAnsiTheme="majorHAnsi" w:cstheme="majorHAnsi"/>
        </w:rPr>
      </w:pPr>
      <w:bookmarkStart w:id="6" w:name="_Toc193370243"/>
      <w:r w:rsidRPr="00191618">
        <w:rPr>
          <w:rFonts w:asciiTheme="majorHAnsi" w:hAnsiTheme="majorHAnsi" w:cstheme="majorHAnsi"/>
        </w:rPr>
        <w:t>Item 6 – Performance-Based Fees and Side by Side Management</w:t>
      </w:r>
      <w:bookmarkEnd w:id="6"/>
    </w:p>
    <w:p w14:paraId="2A9B1E49" w14:textId="77777777" w:rsidR="00A10217" w:rsidRPr="00653C76" w:rsidRDefault="007037F9" w:rsidP="00D15F5E">
      <w:pPr>
        <w:spacing w:before="120" w:after="240"/>
        <w:jc w:val="both"/>
        <w:rPr>
          <w:rFonts w:asciiTheme="minorHAnsi" w:hAnsiTheme="minorHAnsi"/>
          <w:sz w:val="24"/>
          <w:szCs w:val="24"/>
        </w:rPr>
      </w:pPr>
      <w:r w:rsidRPr="00653C76">
        <w:rPr>
          <w:rFonts w:asciiTheme="minorHAnsi" w:hAnsiTheme="minorHAnsi"/>
          <w:sz w:val="24"/>
          <w:szCs w:val="24"/>
        </w:rPr>
        <w:t>We do</w:t>
      </w:r>
      <w:r w:rsidR="00A10217" w:rsidRPr="00653C76">
        <w:rPr>
          <w:rFonts w:asciiTheme="minorHAnsi" w:hAnsiTheme="minorHAnsi"/>
          <w:sz w:val="24"/>
          <w:szCs w:val="24"/>
        </w:rPr>
        <w:t xml:space="preserve"> not charge any performance-based fees (fees based on a share of capital gains on or capital appreciation of the assets of a client)</w:t>
      </w:r>
      <w:r w:rsidR="00B76627" w:rsidRPr="00653C76">
        <w:rPr>
          <w:rFonts w:asciiTheme="minorHAnsi" w:hAnsiTheme="minorHAnsi"/>
          <w:sz w:val="24"/>
          <w:szCs w:val="24"/>
        </w:rPr>
        <w:t xml:space="preserve"> or provide side by side management</w:t>
      </w:r>
      <w:r w:rsidR="00A10217" w:rsidRPr="00653C76">
        <w:rPr>
          <w:rFonts w:asciiTheme="minorHAnsi" w:hAnsiTheme="minorHAnsi"/>
          <w:sz w:val="24"/>
          <w:szCs w:val="24"/>
        </w:rPr>
        <w:t>.</w:t>
      </w:r>
    </w:p>
    <w:p w14:paraId="1BE59743" w14:textId="77777777" w:rsidR="00B70CF0" w:rsidRPr="00191618" w:rsidRDefault="00B70CF0" w:rsidP="00D15F5E">
      <w:pPr>
        <w:pStyle w:val="Heading1"/>
        <w:spacing w:before="0"/>
        <w:rPr>
          <w:rFonts w:asciiTheme="majorHAnsi" w:hAnsiTheme="majorHAnsi" w:cstheme="majorHAnsi"/>
        </w:rPr>
      </w:pPr>
      <w:bookmarkStart w:id="7" w:name="_Toc193370244"/>
      <w:r w:rsidRPr="00191618">
        <w:rPr>
          <w:rFonts w:asciiTheme="majorHAnsi" w:hAnsiTheme="majorHAnsi" w:cstheme="majorHAnsi"/>
        </w:rPr>
        <w:t>Item 7 – Types of Clients</w:t>
      </w:r>
      <w:bookmarkEnd w:id="7"/>
    </w:p>
    <w:p w14:paraId="44D8FF06" w14:textId="5BEBB33B" w:rsidR="0042375A" w:rsidRPr="00653C76" w:rsidRDefault="007037F9" w:rsidP="00D15F5E">
      <w:pPr>
        <w:pStyle w:val="ListParagraph"/>
        <w:spacing w:before="120" w:after="240"/>
        <w:ind w:left="0"/>
        <w:contextualSpacing w:val="0"/>
        <w:jc w:val="both"/>
        <w:rPr>
          <w:rFonts w:asciiTheme="minorHAnsi" w:hAnsiTheme="minorHAnsi"/>
          <w:sz w:val="24"/>
          <w:szCs w:val="24"/>
        </w:rPr>
      </w:pPr>
      <w:r w:rsidRPr="00653C76">
        <w:rPr>
          <w:rFonts w:asciiTheme="minorHAnsi" w:hAnsiTheme="minorHAnsi"/>
          <w:sz w:val="24"/>
          <w:szCs w:val="24"/>
        </w:rPr>
        <w:t xml:space="preserve">We offer our services to </w:t>
      </w:r>
      <w:r w:rsidR="005B5B4B">
        <w:rPr>
          <w:rFonts w:asciiTheme="minorHAnsi" w:hAnsiTheme="minorHAnsi"/>
          <w:sz w:val="24"/>
          <w:szCs w:val="24"/>
        </w:rPr>
        <w:t xml:space="preserve">individuals, </w:t>
      </w:r>
      <w:r w:rsidR="00D85F49">
        <w:rPr>
          <w:rFonts w:asciiTheme="minorHAnsi" w:hAnsiTheme="minorHAnsi"/>
          <w:sz w:val="24"/>
          <w:szCs w:val="24"/>
        </w:rPr>
        <w:t>high net worth individuals</w:t>
      </w:r>
      <w:r w:rsidR="005B5B4B">
        <w:rPr>
          <w:rFonts w:asciiTheme="minorHAnsi" w:hAnsiTheme="minorHAnsi"/>
          <w:sz w:val="24"/>
          <w:szCs w:val="24"/>
        </w:rPr>
        <w:t xml:space="preserve">, </w:t>
      </w:r>
      <w:r w:rsidR="00900427">
        <w:rPr>
          <w:rFonts w:asciiTheme="minorHAnsi" w:hAnsiTheme="minorHAnsi"/>
          <w:sz w:val="24"/>
          <w:szCs w:val="24"/>
        </w:rPr>
        <w:t xml:space="preserve">and </w:t>
      </w:r>
      <w:r w:rsidR="007419BD">
        <w:rPr>
          <w:rFonts w:asciiTheme="minorHAnsi" w:hAnsiTheme="minorHAnsi"/>
          <w:sz w:val="24"/>
          <w:szCs w:val="24"/>
        </w:rPr>
        <w:t>corporations and other business entities (</w:t>
      </w:r>
      <w:r w:rsidR="00EA32FA">
        <w:rPr>
          <w:rFonts w:asciiTheme="minorHAnsi" w:hAnsiTheme="minorHAnsi"/>
          <w:sz w:val="24"/>
          <w:szCs w:val="24"/>
        </w:rPr>
        <w:t>i.e.,</w:t>
      </w:r>
      <w:r w:rsidR="007419BD">
        <w:rPr>
          <w:rFonts w:asciiTheme="minorHAnsi" w:hAnsiTheme="minorHAnsi"/>
          <w:sz w:val="24"/>
          <w:szCs w:val="24"/>
        </w:rPr>
        <w:t xml:space="preserve"> Simple IRAs)</w:t>
      </w:r>
      <w:r w:rsidR="002E1152">
        <w:rPr>
          <w:rFonts w:asciiTheme="minorHAnsi" w:hAnsiTheme="minorHAnsi"/>
          <w:sz w:val="24"/>
          <w:szCs w:val="24"/>
        </w:rPr>
        <w:t xml:space="preserve">.  </w:t>
      </w:r>
      <w:r w:rsidR="001415C0">
        <w:rPr>
          <w:rFonts w:asciiTheme="minorHAnsi" w:hAnsiTheme="minorHAnsi"/>
          <w:sz w:val="24"/>
          <w:szCs w:val="24"/>
        </w:rPr>
        <w:t>We do not require a minimum account size.</w:t>
      </w:r>
      <w:r w:rsidR="000B1237">
        <w:rPr>
          <w:rFonts w:asciiTheme="minorHAnsi" w:hAnsiTheme="minorHAnsi"/>
          <w:sz w:val="24"/>
          <w:szCs w:val="24"/>
        </w:rPr>
        <w:t xml:space="preserve">  </w:t>
      </w:r>
    </w:p>
    <w:p w14:paraId="62DF5FBC" w14:textId="77777777" w:rsidR="00B70CF0" w:rsidRPr="00191618" w:rsidRDefault="00B70CF0" w:rsidP="00D15F5E">
      <w:pPr>
        <w:pStyle w:val="Heading1"/>
        <w:spacing w:before="0"/>
        <w:rPr>
          <w:rFonts w:asciiTheme="majorHAnsi" w:hAnsiTheme="majorHAnsi" w:cstheme="majorHAnsi"/>
        </w:rPr>
      </w:pPr>
      <w:bookmarkStart w:id="8" w:name="_Toc193370245"/>
      <w:r w:rsidRPr="00191618">
        <w:rPr>
          <w:rFonts w:asciiTheme="majorHAnsi" w:hAnsiTheme="majorHAnsi" w:cstheme="majorHAnsi"/>
        </w:rPr>
        <w:t>Item 8 – M</w:t>
      </w:r>
      <w:r w:rsidR="00DC6CF0" w:rsidRPr="00191618">
        <w:rPr>
          <w:rFonts w:asciiTheme="majorHAnsi" w:hAnsiTheme="majorHAnsi" w:cstheme="majorHAnsi"/>
        </w:rPr>
        <w:t>ethods of Analysis, I</w:t>
      </w:r>
      <w:r w:rsidRPr="00191618">
        <w:rPr>
          <w:rFonts w:asciiTheme="majorHAnsi" w:hAnsiTheme="majorHAnsi" w:cstheme="majorHAnsi"/>
        </w:rPr>
        <w:t>nve</w:t>
      </w:r>
      <w:r w:rsidR="00DC6CF0" w:rsidRPr="00191618">
        <w:rPr>
          <w:rFonts w:asciiTheme="majorHAnsi" w:hAnsiTheme="majorHAnsi" w:cstheme="majorHAnsi"/>
        </w:rPr>
        <w:t>stment Strategies and Risk of L</w:t>
      </w:r>
      <w:r w:rsidRPr="00191618">
        <w:rPr>
          <w:rFonts w:asciiTheme="majorHAnsi" w:hAnsiTheme="majorHAnsi" w:cstheme="majorHAnsi"/>
        </w:rPr>
        <w:t>oss</w:t>
      </w:r>
      <w:bookmarkEnd w:id="8"/>
    </w:p>
    <w:p w14:paraId="2E689979" w14:textId="77777777" w:rsidR="00A10217" w:rsidRPr="00653C76" w:rsidRDefault="00A10217" w:rsidP="00D15F5E">
      <w:pPr>
        <w:spacing w:before="120" w:after="120"/>
        <w:rPr>
          <w:rFonts w:asciiTheme="minorHAnsi" w:hAnsiTheme="minorHAnsi"/>
          <w:smallCaps/>
          <w:sz w:val="24"/>
          <w:szCs w:val="24"/>
          <w:u w:val="single"/>
        </w:rPr>
      </w:pPr>
      <w:r w:rsidRPr="00653C76">
        <w:rPr>
          <w:rFonts w:asciiTheme="minorHAnsi" w:hAnsiTheme="minorHAnsi"/>
          <w:smallCaps/>
          <w:sz w:val="24"/>
          <w:szCs w:val="24"/>
          <w:u w:val="single"/>
        </w:rPr>
        <w:t xml:space="preserve">Methods of Analysis and Investment Strategies </w:t>
      </w:r>
    </w:p>
    <w:p w14:paraId="7DD47931" w14:textId="71C324CE" w:rsidR="007C10AA" w:rsidRDefault="007419BD" w:rsidP="007C10AA">
      <w:pPr>
        <w:spacing w:after="120" w:line="300" w:lineRule="atLeast"/>
        <w:jc w:val="both"/>
        <w:rPr>
          <w:rFonts w:asciiTheme="minorHAnsi" w:hAnsiTheme="minorHAnsi" w:cstheme="minorHAnsi"/>
          <w:sz w:val="24"/>
          <w:szCs w:val="24"/>
        </w:rPr>
      </w:pPr>
      <w:r>
        <w:rPr>
          <w:rFonts w:asciiTheme="minorHAnsi" w:hAnsiTheme="minorHAnsi" w:cstheme="minorHAnsi"/>
          <w:sz w:val="24"/>
          <w:szCs w:val="24"/>
        </w:rPr>
        <w:t xml:space="preserve">When we create your portfolio, we begin with an asset allocation based on the client’s risk tolerance and financial goals.  After the initial asset allocation is created, we will manage the portfolios using </w:t>
      </w:r>
      <w:r w:rsidR="00FD1EA0">
        <w:rPr>
          <w:rFonts w:asciiTheme="minorHAnsi" w:hAnsiTheme="minorHAnsi" w:cstheme="minorHAnsi"/>
          <w:sz w:val="24"/>
          <w:szCs w:val="24"/>
        </w:rPr>
        <w:t>fundamental and technical analysis.  The following is a general description of these methods of analysis and investment strategies:</w:t>
      </w:r>
    </w:p>
    <w:p w14:paraId="6667DEA8" w14:textId="3A5F4007" w:rsidR="00FD1EA0" w:rsidRDefault="00FD1EA0" w:rsidP="007C10AA">
      <w:pPr>
        <w:spacing w:after="120" w:line="300" w:lineRule="atLeast"/>
        <w:jc w:val="both"/>
        <w:rPr>
          <w:rFonts w:asciiTheme="minorHAnsi" w:hAnsiTheme="minorHAnsi" w:cstheme="minorHAnsi"/>
          <w:sz w:val="24"/>
          <w:szCs w:val="24"/>
        </w:rPr>
      </w:pPr>
      <w:r>
        <w:rPr>
          <w:rFonts w:asciiTheme="minorHAnsi" w:hAnsiTheme="minorHAnsi" w:cstheme="minorHAnsi"/>
          <w:sz w:val="24"/>
          <w:szCs w:val="24"/>
        </w:rPr>
        <w:t xml:space="preserve">Asset allocation is an investment strategy that aims to balance risk and reward by apportioning a portfolio’s assets according to an individual’s goals, risk tolerance and investment horizon.  The asset classes typically include equities, fixed-income, international, and cash and equivalents.  The risk associated with asset allocation is that each class has different levels of risk and return, so each will behave differently over time.  There is no guarantee that diversification among asset classes will grow a portfolio.  </w:t>
      </w:r>
    </w:p>
    <w:p w14:paraId="73282B2D" w14:textId="47D5058A" w:rsidR="00FD1EA0" w:rsidRDefault="00FD1EA0" w:rsidP="007C10AA">
      <w:pPr>
        <w:spacing w:after="120" w:line="300" w:lineRule="atLeast"/>
        <w:jc w:val="both"/>
        <w:rPr>
          <w:rFonts w:asciiTheme="minorHAnsi" w:hAnsiTheme="minorHAnsi" w:cstheme="minorHAnsi"/>
          <w:sz w:val="24"/>
          <w:szCs w:val="24"/>
        </w:rPr>
      </w:pPr>
      <w:r>
        <w:rPr>
          <w:rFonts w:asciiTheme="minorHAnsi" w:hAnsiTheme="minorHAnsi" w:cstheme="minorHAnsi"/>
          <w:sz w:val="24"/>
          <w:szCs w:val="24"/>
        </w:rPr>
        <w:t xml:space="preserve">Fundamental analysis is a technique that attempts to determine a security’s value by focusing on underlying factors that affect a company’s actual business and its future prospects.  The analysis is performed on historical and present data.  On a broader scope, one can perform fundamental </w:t>
      </w:r>
      <w:r>
        <w:rPr>
          <w:rFonts w:asciiTheme="minorHAnsi" w:hAnsiTheme="minorHAnsi" w:cstheme="minorHAnsi"/>
          <w:sz w:val="24"/>
          <w:szCs w:val="24"/>
        </w:rPr>
        <w:lastRenderedPageBreak/>
        <w:t>analysis on industries or the economy as a whole.  The term refers to the analysis of the economic well-being of a financial entity as opposed to only its price movements.  The risk</w:t>
      </w:r>
      <w:r w:rsidR="00BB0B14">
        <w:rPr>
          <w:rFonts w:asciiTheme="minorHAnsi" w:hAnsiTheme="minorHAnsi" w:cstheme="minorHAnsi"/>
          <w:sz w:val="24"/>
          <w:szCs w:val="24"/>
        </w:rPr>
        <w:t xml:space="preserve"> </w:t>
      </w:r>
      <w:r>
        <w:rPr>
          <w:rFonts w:asciiTheme="minorHAnsi" w:hAnsiTheme="minorHAnsi" w:cstheme="minorHAnsi"/>
          <w:sz w:val="24"/>
          <w:szCs w:val="24"/>
        </w:rPr>
        <w:t xml:space="preserve">associated with fundamental </w:t>
      </w:r>
      <w:r w:rsidR="002259A8">
        <w:rPr>
          <w:rFonts w:asciiTheme="minorHAnsi" w:hAnsiTheme="minorHAnsi" w:cstheme="minorHAnsi"/>
          <w:sz w:val="24"/>
          <w:szCs w:val="24"/>
        </w:rPr>
        <w:t>analysis</w:t>
      </w:r>
      <w:r>
        <w:rPr>
          <w:rFonts w:asciiTheme="minorHAnsi" w:hAnsiTheme="minorHAnsi" w:cstheme="minorHAnsi"/>
          <w:sz w:val="24"/>
          <w:szCs w:val="24"/>
        </w:rPr>
        <w:t xml:space="preserve"> </w:t>
      </w:r>
      <w:r w:rsidR="00BB0B14">
        <w:rPr>
          <w:rFonts w:asciiTheme="minorHAnsi" w:hAnsiTheme="minorHAnsi" w:cstheme="minorHAnsi"/>
          <w:sz w:val="24"/>
          <w:szCs w:val="24"/>
        </w:rPr>
        <w:t xml:space="preserve">is </w:t>
      </w:r>
      <w:r>
        <w:rPr>
          <w:rFonts w:asciiTheme="minorHAnsi" w:hAnsiTheme="minorHAnsi" w:cstheme="minorHAnsi"/>
          <w:sz w:val="24"/>
          <w:szCs w:val="24"/>
        </w:rPr>
        <w:t xml:space="preserve">that despite the appearance that a security is undervalued, it may not rise in value as predicted.  </w:t>
      </w:r>
    </w:p>
    <w:p w14:paraId="4F27C4D9" w14:textId="62C3BD0C" w:rsidR="00FD1EA0" w:rsidRDefault="00FD1EA0" w:rsidP="007C10AA">
      <w:pPr>
        <w:spacing w:after="120" w:line="300" w:lineRule="atLeast"/>
        <w:jc w:val="both"/>
        <w:rPr>
          <w:rFonts w:asciiTheme="minorHAnsi" w:hAnsiTheme="minorHAnsi" w:cstheme="minorHAnsi"/>
          <w:sz w:val="24"/>
          <w:szCs w:val="24"/>
        </w:rPr>
      </w:pPr>
      <w:r>
        <w:rPr>
          <w:rFonts w:asciiTheme="minorHAnsi" w:hAnsiTheme="minorHAnsi" w:cstheme="minorHAnsi"/>
          <w:sz w:val="24"/>
          <w:szCs w:val="24"/>
        </w:rPr>
        <w:t xml:space="preserve">Technical analysis is a method of evaluating securities by analyzing statistics generated by market activity, such as past prices and volume.  Technical analysts do not attempt to measure a security’s intrinsic </w:t>
      </w:r>
      <w:r w:rsidR="00BB0B14">
        <w:rPr>
          <w:rFonts w:asciiTheme="minorHAnsi" w:hAnsiTheme="minorHAnsi" w:cstheme="minorHAnsi"/>
          <w:sz w:val="24"/>
          <w:szCs w:val="24"/>
        </w:rPr>
        <w:t>value but</w:t>
      </w:r>
      <w:r>
        <w:rPr>
          <w:rFonts w:asciiTheme="minorHAnsi" w:hAnsiTheme="minorHAnsi" w:cstheme="minorHAnsi"/>
          <w:sz w:val="24"/>
          <w:szCs w:val="24"/>
        </w:rPr>
        <w:t xml:space="preserve"> instead use charts and other tools to identify patterns that can suggest future activity.  The risk associated with technical analysis is that there is no broad consensus among technical traders on the best method of identifying future price movements. </w:t>
      </w:r>
    </w:p>
    <w:p w14:paraId="67C4E56C" w14:textId="432B1213" w:rsidR="005A78FF" w:rsidRDefault="005A78FF" w:rsidP="007C10AA">
      <w:pPr>
        <w:spacing w:after="120" w:line="300" w:lineRule="atLeast"/>
        <w:jc w:val="both"/>
        <w:rPr>
          <w:rStyle w:val="tutorialsmainbody1"/>
          <w:rFonts w:asciiTheme="minorHAnsi" w:hAnsiTheme="minorHAnsi" w:cstheme="minorHAnsi"/>
          <w:color w:val="000000"/>
          <w:sz w:val="24"/>
          <w:szCs w:val="24"/>
        </w:rPr>
      </w:pPr>
      <w:r>
        <w:rPr>
          <w:rFonts w:asciiTheme="minorHAnsi" w:hAnsiTheme="minorHAnsi" w:cstheme="minorHAnsi"/>
          <w:sz w:val="24"/>
          <w:szCs w:val="24"/>
        </w:rPr>
        <w:t xml:space="preserve">Additionally, with respect to our use of sub-advisers, we attempt to match your individualized needs, goals and objectives with the sub-adviser’s method of investment analysis and investment strategies.  Please refer to the sub-adviser’s ADV Part 2A – Item 8.A for a full description of their methods of analysis and investment strategies.  </w:t>
      </w:r>
    </w:p>
    <w:p w14:paraId="64308D8F" w14:textId="77777777" w:rsidR="00C45863" w:rsidRPr="00653C76" w:rsidRDefault="00A10217" w:rsidP="00D15F5E">
      <w:pPr>
        <w:spacing w:after="120"/>
        <w:jc w:val="both"/>
        <w:rPr>
          <w:rFonts w:asciiTheme="minorHAnsi" w:hAnsiTheme="minorHAnsi"/>
          <w:smallCaps/>
          <w:sz w:val="24"/>
          <w:szCs w:val="24"/>
          <w:u w:val="single"/>
        </w:rPr>
      </w:pPr>
      <w:r w:rsidRPr="00653C76">
        <w:rPr>
          <w:rFonts w:asciiTheme="minorHAnsi" w:hAnsiTheme="minorHAnsi"/>
          <w:smallCaps/>
          <w:sz w:val="24"/>
          <w:szCs w:val="24"/>
          <w:u w:val="single"/>
        </w:rPr>
        <w:t xml:space="preserve">Investment Risks </w:t>
      </w:r>
    </w:p>
    <w:p w14:paraId="35B39F96" w14:textId="022AE8A1" w:rsidR="00153290" w:rsidRPr="007C10AA" w:rsidRDefault="00547512" w:rsidP="00D15F5E">
      <w:pPr>
        <w:tabs>
          <w:tab w:val="center" w:pos="4320"/>
          <w:tab w:val="right" w:pos="8640"/>
        </w:tabs>
        <w:autoSpaceDE w:val="0"/>
        <w:autoSpaceDN w:val="0"/>
        <w:adjustRightInd w:val="0"/>
        <w:spacing w:after="120"/>
        <w:jc w:val="both"/>
        <w:rPr>
          <w:rFonts w:asciiTheme="minorHAnsi" w:eastAsia="Arial" w:hAnsiTheme="minorHAnsi" w:cstheme="minorHAnsi"/>
          <w:sz w:val="24"/>
          <w:szCs w:val="24"/>
        </w:rPr>
      </w:pPr>
      <w:r w:rsidRPr="007C10AA">
        <w:rPr>
          <w:rFonts w:asciiTheme="minorHAnsi" w:eastAsia="Arial" w:hAnsiTheme="minorHAnsi" w:cstheme="minorHAnsi"/>
          <w:sz w:val="24"/>
          <w:szCs w:val="24"/>
        </w:rPr>
        <w:t>All</w:t>
      </w:r>
      <w:r w:rsidR="00DC6CF0" w:rsidRPr="007C10AA">
        <w:rPr>
          <w:rFonts w:asciiTheme="minorHAnsi" w:eastAsia="Arial" w:hAnsiTheme="minorHAnsi" w:cstheme="minorHAnsi"/>
          <w:sz w:val="24"/>
          <w:szCs w:val="24"/>
        </w:rPr>
        <w:t xml:space="preserve"> </w:t>
      </w:r>
      <w:r w:rsidRPr="007C10AA">
        <w:rPr>
          <w:rFonts w:asciiTheme="minorHAnsi" w:eastAsia="Arial" w:hAnsiTheme="minorHAnsi" w:cstheme="minorHAnsi"/>
          <w:sz w:val="24"/>
          <w:szCs w:val="24"/>
        </w:rPr>
        <w:t>i</w:t>
      </w:r>
      <w:r w:rsidRPr="007C10AA">
        <w:rPr>
          <w:rFonts w:asciiTheme="minorHAnsi" w:eastAsia="Arial" w:hAnsiTheme="minorHAnsi" w:cstheme="minorHAnsi"/>
          <w:spacing w:val="1"/>
          <w:sz w:val="24"/>
          <w:szCs w:val="24"/>
        </w:rPr>
        <w:t>n</w:t>
      </w:r>
      <w:r w:rsidRPr="007C10AA">
        <w:rPr>
          <w:rFonts w:asciiTheme="minorHAnsi" w:eastAsia="Arial" w:hAnsiTheme="minorHAnsi" w:cstheme="minorHAnsi"/>
          <w:spacing w:val="-2"/>
          <w:sz w:val="24"/>
          <w:szCs w:val="24"/>
        </w:rPr>
        <w:t>v</w:t>
      </w:r>
      <w:r w:rsidRPr="007C10AA">
        <w:rPr>
          <w:rFonts w:asciiTheme="minorHAnsi" w:eastAsia="Arial" w:hAnsiTheme="minorHAnsi" w:cstheme="minorHAnsi"/>
          <w:spacing w:val="1"/>
          <w:sz w:val="24"/>
          <w:szCs w:val="24"/>
        </w:rPr>
        <w:t>e</w:t>
      </w:r>
      <w:r w:rsidRPr="007C10AA">
        <w:rPr>
          <w:rFonts w:asciiTheme="minorHAnsi" w:eastAsia="Arial" w:hAnsiTheme="minorHAnsi" w:cstheme="minorHAnsi"/>
          <w:sz w:val="24"/>
          <w:szCs w:val="24"/>
        </w:rPr>
        <w:t>st</w:t>
      </w:r>
      <w:r w:rsidRPr="007C10AA">
        <w:rPr>
          <w:rFonts w:asciiTheme="minorHAnsi" w:eastAsia="Arial" w:hAnsiTheme="minorHAnsi" w:cstheme="minorHAnsi"/>
          <w:spacing w:val="2"/>
          <w:sz w:val="24"/>
          <w:szCs w:val="24"/>
        </w:rPr>
        <w:t>m</w:t>
      </w:r>
      <w:r w:rsidRPr="007C10AA">
        <w:rPr>
          <w:rFonts w:asciiTheme="minorHAnsi" w:eastAsia="Arial" w:hAnsiTheme="minorHAnsi" w:cstheme="minorHAnsi"/>
          <w:spacing w:val="1"/>
          <w:sz w:val="24"/>
          <w:szCs w:val="24"/>
        </w:rPr>
        <w:t>en</w:t>
      </w:r>
      <w:r w:rsidRPr="007C10AA">
        <w:rPr>
          <w:rFonts w:asciiTheme="minorHAnsi" w:eastAsia="Arial" w:hAnsiTheme="minorHAnsi" w:cstheme="minorHAnsi"/>
          <w:sz w:val="24"/>
          <w:szCs w:val="24"/>
        </w:rPr>
        <w:t>t</w:t>
      </w:r>
      <w:r w:rsidR="00DC6CF0" w:rsidRPr="007C10AA">
        <w:rPr>
          <w:rFonts w:asciiTheme="minorHAnsi" w:eastAsia="Arial" w:hAnsiTheme="minorHAnsi" w:cstheme="minorHAnsi"/>
          <w:sz w:val="24"/>
          <w:szCs w:val="24"/>
        </w:rPr>
        <w:t xml:space="preserve"> </w:t>
      </w:r>
      <w:r w:rsidRPr="007C10AA">
        <w:rPr>
          <w:rFonts w:asciiTheme="minorHAnsi" w:eastAsia="Arial" w:hAnsiTheme="minorHAnsi" w:cstheme="minorHAnsi"/>
          <w:spacing w:val="1"/>
          <w:sz w:val="24"/>
          <w:szCs w:val="24"/>
        </w:rPr>
        <w:t>p</w:t>
      </w:r>
      <w:r w:rsidRPr="007C10AA">
        <w:rPr>
          <w:rFonts w:asciiTheme="minorHAnsi" w:eastAsia="Arial" w:hAnsiTheme="minorHAnsi" w:cstheme="minorHAnsi"/>
          <w:sz w:val="24"/>
          <w:szCs w:val="24"/>
        </w:rPr>
        <w:t>ro</w:t>
      </w:r>
      <w:r w:rsidRPr="007C10AA">
        <w:rPr>
          <w:rFonts w:asciiTheme="minorHAnsi" w:eastAsia="Arial" w:hAnsiTheme="minorHAnsi" w:cstheme="minorHAnsi"/>
          <w:spacing w:val="-1"/>
          <w:sz w:val="24"/>
          <w:szCs w:val="24"/>
        </w:rPr>
        <w:t>g</w:t>
      </w:r>
      <w:r w:rsidRPr="007C10AA">
        <w:rPr>
          <w:rFonts w:asciiTheme="minorHAnsi" w:eastAsia="Arial" w:hAnsiTheme="minorHAnsi" w:cstheme="minorHAnsi"/>
          <w:sz w:val="24"/>
          <w:szCs w:val="24"/>
        </w:rPr>
        <w:t xml:space="preserve">rams </w:t>
      </w:r>
      <w:r w:rsidRPr="007C10AA">
        <w:rPr>
          <w:rFonts w:asciiTheme="minorHAnsi" w:eastAsia="Arial" w:hAnsiTheme="minorHAnsi" w:cstheme="minorHAnsi"/>
          <w:spacing w:val="1"/>
          <w:sz w:val="24"/>
          <w:szCs w:val="24"/>
        </w:rPr>
        <w:t>ha</w:t>
      </w:r>
      <w:r w:rsidRPr="007C10AA">
        <w:rPr>
          <w:rFonts w:asciiTheme="minorHAnsi" w:eastAsia="Arial" w:hAnsiTheme="minorHAnsi" w:cstheme="minorHAnsi"/>
          <w:spacing w:val="-2"/>
          <w:sz w:val="24"/>
          <w:szCs w:val="24"/>
        </w:rPr>
        <w:t>v</w:t>
      </w:r>
      <w:r w:rsidRPr="007C10AA">
        <w:rPr>
          <w:rFonts w:asciiTheme="minorHAnsi" w:eastAsia="Arial" w:hAnsiTheme="minorHAnsi" w:cstheme="minorHAnsi"/>
          <w:sz w:val="24"/>
          <w:szCs w:val="24"/>
        </w:rPr>
        <w:t>e</w:t>
      </w:r>
      <w:r w:rsidR="00DC6CF0" w:rsidRPr="007C10AA">
        <w:rPr>
          <w:rFonts w:asciiTheme="minorHAnsi" w:eastAsia="Arial" w:hAnsiTheme="minorHAnsi" w:cstheme="minorHAnsi"/>
          <w:sz w:val="24"/>
          <w:szCs w:val="24"/>
        </w:rPr>
        <w:t xml:space="preserve"> </w:t>
      </w:r>
      <w:r w:rsidRPr="007C10AA">
        <w:rPr>
          <w:rFonts w:asciiTheme="minorHAnsi" w:eastAsia="Arial" w:hAnsiTheme="minorHAnsi" w:cstheme="minorHAnsi"/>
          <w:sz w:val="24"/>
          <w:szCs w:val="24"/>
        </w:rPr>
        <w:t>c</w:t>
      </w:r>
      <w:r w:rsidRPr="007C10AA">
        <w:rPr>
          <w:rFonts w:asciiTheme="minorHAnsi" w:eastAsia="Arial" w:hAnsiTheme="minorHAnsi" w:cstheme="minorHAnsi"/>
          <w:spacing w:val="1"/>
          <w:sz w:val="24"/>
          <w:szCs w:val="24"/>
        </w:rPr>
        <w:t>e</w:t>
      </w:r>
      <w:r w:rsidRPr="007C10AA">
        <w:rPr>
          <w:rFonts w:asciiTheme="minorHAnsi" w:eastAsia="Arial" w:hAnsiTheme="minorHAnsi" w:cstheme="minorHAnsi"/>
          <w:sz w:val="24"/>
          <w:szCs w:val="24"/>
        </w:rPr>
        <w:t>rtain</w:t>
      </w:r>
      <w:r w:rsidR="00DC6CF0" w:rsidRPr="007C10AA">
        <w:rPr>
          <w:rFonts w:asciiTheme="minorHAnsi" w:eastAsia="Arial" w:hAnsiTheme="minorHAnsi" w:cstheme="minorHAnsi"/>
          <w:sz w:val="24"/>
          <w:szCs w:val="24"/>
        </w:rPr>
        <w:t xml:space="preserve"> </w:t>
      </w:r>
      <w:r w:rsidRPr="007C10AA">
        <w:rPr>
          <w:rFonts w:asciiTheme="minorHAnsi" w:eastAsia="Arial" w:hAnsiTheme="minorHAnsi" w:cstheme="minorHAnsi"/>
          <w:sz w:val="24"/>
          <w:szCs w:val="24"/>
        </w:rPr>
        <w:t xml:space="preserve">risks </w:t>
      </w:r>
      <w:r w:rsidRPr="007C10AA">
        <w:rPr>
          <w:rFonts w:asciiTheme="minorHAnsi" w:eastAsia="Arial" w:hAnsiTheme="minorHAnsi" w:cstheme="minorHAnsi"/>
          <w:spacing w:val="1"/>
          <w:sz w:val="24"/>
          <w:szCs w:val="24"/>
        </w:rPr>
        <w:t>th</w:t>
      </w:r>
      <w:r w:rsidRPr="007C10AA">
        <w:rPr>
          <w:rFonts w:asciiTheme="minorHAnsi" w:eastAsia="Arial" w:hAnsiTheme="minorHAnsi" w:cstheme="minorHAnsi"/>
          <w:spacing w:val="-1"/>
          <w:sz w:val="24"/>
          <w:szCs w:val="24"/>
        </w:rPr>
        <w:t>a</w:t>
      </w:r>
      <w:r w:rsidRPr="007C10AA">
        <w:rPr>
          <w:rFonts w:asciiTheme="minorHAnsi" w:eastAsia="Arial" w:hAnsiTheme="minorHAnsi" w:cstheme="minorHAnsi"/>
          <w:sz w:val="24"/>
          <w:szCs w:val="24"/>
        </w:rPr>
        <w:t>t</w:t>
      </w:r>
      <w:r w:rsidR="00DC6CF0" w:rsidRPr="007C10AA">
        <w:rPr>
          <w:rFonts w:asciiTheme="minorHAnsi" w:eastAsia="Arial" w:hAnsiTheme="minorHAnsi" w:cstheme="minorHAnsi"/>
          <w:sz w:val="24"/>
          <w:szCs w:val="24"/>
        </w:rPr>
        <w:t xml:space="preserve"> </w:t>
      </w:r>
      <w:r w:rsidRPr="007C10AA">
        <w:rPr>
          <w:rFonts w:asciiTheme="minorHAnsi" w:eastAsia="Arial" w:hAnsiTheme="minorHAnsi" w:cstheme="minorHAnsi"/>
          <w:spacing w:val="1"/>
          <w:sz w:val="24"/>
          <w:szCs w:val="24"/>
        </w:rPr>
        <w:t>a</w:t>
      </w:r>
      <w:r w:rsidRPr="007C10AA">
        <w:rPr>
          <w:rFonts w:asciiTheme="minorHAnsi" w:eastAsia="Arial" w:hAnsiTheme="minorHAnsi" w:cstheme="minorHAnsi"/>
          <w:sz w:val="24"/>
          <w:szCs w:val="24"/>
        </w:rPr>
        <w:t xml:space="preserve">re </w:t>
      </w:r>
      <w:r w:rsidR="00233D57" w:rsidRPr="007C10AA">
        <w:rPr>
          <w:rFonts w:asciiTheme="minorHAnsi" w:eastAsia="Arial" w:hAnsiTheme="minorHAnsi" w:cstheme="minorHAnsi"/>
          <w:spacing w:val="-1"/>
          <w:sz w:val="24"/>
          <w:szCs w:val="24"/>
        </w:rPr>
        <w:t>born</w:t>
      </w:r>
      <w:r w:rsidR="00DC6CF0" w:rsidRPr="007C10AA">
        <w:rPr>
          <w:rFonts w:asciiTheme="minorHAnsi" w:eastAsia="Arial" w:hAnsiTheme="minorHAnsi" w:cstheme="minorHAnsi"/>
          <w:spacing w:val="-1"/>
          <w:sz w:val="24"/>
          <w:szCs w:val="24"/>
        </w:rPr>
        <w:t>e</w:t>
      </w:r>
      <w:r w:rsidR="00233D57" w:rsidRPr="007C10AA">
        <w:rPr>
          <w:rFonts w:asciiTheme="minorHAnsi" w:eastAsia="Arial" w:hAnsiTheme="minorHAnsi" w:cstheme="minorHAnsi"/>
          <w:spacing w:val="-1"/>
          <w:sz w:val="24"/>
          <w:szCs w:val="24"/>
        </w:rPr>
        <w:t xml:space="preserve"> </w:t>
      </w:r>
      <w:r w:rsidRPr="007C10AA">
        <w:rPr>
          <w:rFonts w:asciiTheme="minorHAnsi" w:eastAsia="Arial" w:hAnsiTheme="minorHAnsi" w:cstheme="minorHAnsi"/>
          <w:spacing w:val="1"/>
          <w:sz w:val="24"/>
          <w:szCs w:val="24"/>
        </w:rPr>
        <w:t>b</w:t>
      </w:r>
      <w:r w:rsidRPr="007C10AA">
        <w:rPr>
          <w:rFonts w:asciiTheme="minorHAnsi" w:eastAsia="Arial" w:hAnsiTheme="minorHAnsi" w:cstheme="minorHAnsi"/>
          <w:sz w:val="24"/>
          <w:szCs w:val="24"/>
        </w:rPr>
        <w:t>y</w:t>
      </w:r>
      <w:r w:rsidR="00DC6CF0" w:rsidRPr="007C10AA">
        <w:rPr>
          <w:rFonts w:asciiTheme="minorHAnsi" w:eastAsia="Arial" w:hAnsiTheme="minorHAnsi" w:cstheme="minorHAnsi"/>
          <w:sz w:val="24"/>
          <w:szCs w:val="24"/>
        </w:rPr>
        <w:t xml:space="preserve"> </w:t>
      </w:r>
      <w:r w:rsidR="005A78FF">
        <w:rPr>
          <w:rFonts w:asciiTheme="minorHAnsi" w:eastAsia="Arial" w:hAnsiTheme="minorHAnsi" w:cstheme="minorHAnsi"/>
          <w:spacing w:val="1"/>
          <w:sz w:val="24"/>
          <w:szCs w:val="24"/>
        </w:rPr>
        <w:t>you</w:t>
      </w:r>
      <w:r w:rsidRPr="007C10AA">
        <w:rPr>
          <w:rFonts w:asciiTheme="minorHAnsi" w:eastAsia="Arial" w:hAnsiTheme="minorHAnsi" w:cstheme="minorHAnsi"/>
          <w:sz w:val="24"/>
          <w:szCs w:val="24"/>
        </w:rPr>
        <w:t xml:space="preserve"> </w:t>
      </w:r>
      <w:r w:rsidRPr="007C10AA">
        <w:rPr>
          <w:rFonts w:asciiTheme="minorHAnsi" w:hAnsiTheme="minorHAnsi" w:cstheme="minorHAnsi"/>
          <w:sz w:val="24"/>
          <w:szCs w:val="24"/>
        </w:rPr>
        <w:t xml:space="preserve">and </w:t>
      </w:r>
      <w:r w:rsidRPr="007C10AA">
        <w:rPr>
          <w:rFonts w:asciiTheme="minorHAnsi" w:hAnsiTheme="minorHAnsi" w:cstheme="minorHAnsi"/>
          <w:b/>
          <w:sz w:val="24"/>
          <w:szCs w:val="24"/>
          <w:u w:val="single"/>
        </w:rPr>
        <w:t>investing in securities involves risk of loss that clients should be prepared to bear</w:t>
      </w:r>
      <w:r w:rsidRPr="007C10AA">
        <w:rPr>
          <w:rFonts w:asciiTheme="minorHAnsi" w:hAnsiTheme="minorHAnsi" w:cstheme="minorHAnsi"/>
          <w:b/>
          <w:sz w:val="24"/>
          <w:szCs w:val="24"/>
        </w:rPr>
        <w:t>.</w:t>
      </w:r>
      <w:r w:rsidR="00DC6CF0" w:rsidRPr="007C10AA">
        <w:rPr>
          <w:rFonts w:asciiTheme="minorHAnsi" w:hAnsiTheme="minorHAnsi" w:cstheme="minorHAnsi"/>
          <w:b/>
          <w:sz w:val="24"/>
          <w:szCs w:val="24"/>
        </w:rPr>
        <w:t xml:space="preserve"> </w:t>
      </w:r>
      <w:r w:rsidR="005A78FF">
        <w:rPr>
          <w:rFonts w:asciiTheme="minorHAnsi" w:hAnsiTheme="minorHAnsi" w:cstheme="minorHAnsi"/>
          <w:sz w:val="24"/>
          <w:szCs w:val="24"/>
        </w:rPr>
        <w:t xml:space="preserve">Our goal is to reduce the risk of loss, but not at the expense of portfolio growth.  Recommended investment strategies seek to balance risks and rewards to achieve investment objectives.  To manage risk, we rebalance model portfolios on an “as needed” basis to bring the asset allocations back to their intended balances.  </w:t>
      </w:r>
      <w:r w:rsidR="00266096">
        <w:rPr>
          <w:rFonts w:asciiTheme="minorHAnsi" w:hAnsiTheme="minorHAnsi" w:cstheme="minorHAnsi"/>
          <w:sz w:val="24"/>
          <w:szCs w:val="24"/>
        </w:rPr>
        <w:t>you</w:t>
      </w:r>
      <w:r w:rsidR="005A78FF">
        <w:rPr>
          <w:rFonts w:asciiTheme="minorHAnsi" w:hAnsiTheme="minorHAnsi" w:cstheme="minorHAnsi"/>
          <w:sz w:val="24"/>
          <w:szCs w:val="24"/>
        </w:rPr>
        <w:t xml:space="preserve"> should feel free to ask questions about risks that </w:t>
      </w:r>
      <w:r w:rsidR="00266096">
        <w:rPr>
          <w:rFonts w:asciiTheme="minorHAnsi" w:hAnsiTheme="minorHAnsi" w:cstheme="minorHAnsi"/>
          <w:sz w:val="24"/>
          <w:szCs w:val="24"/>
        </w:rPr>
        <w:t>you do</w:t>
      </w:r>
      <w:r w:rsidR="005A78FF">
        <w:rPr>
          <w:rFonts w:asciiTheme="minorHAnsi" w:hAnsiTheme="minorHAnsi" w:cstheme="minorHAnsi"/>
          <w:sz w:val="24"/>
          <w:szCs w:val="24"/>
        </w:rPr>
        <w:t xml:space="preserve"> not understand; we would be please</w:t>
      </w:r>
      <w:r w:rsidR="00266096">
        <w:rPr>
          <w:rFonts w:asciiTheme="minorHAnsi" w:hAnsiTheme="minorHAnsi" w:cstheme="minorHAnsi"/>
          <w:sz w:val="24"/>
          <w:szCs w:val="24"/>
        </w:rPr>
        <w:t xml:space="preserve">d to discuss them.  </w:t>
      </w:r>
      <w:r w:rsidR="007228F4">
        <w:rPr>
          <w:rFonts w:asciiTheme="minorHAnsi" w:hAnsiTheme="minorHAnsi" w:cstheme="minorHAnsi"/>
          <w:sz w:val="24"/>
          <w:szCs w:val="24"/>
        </w:rPr>
        <w:t xml:space="preserve"> </w:t>
      </w:r>
    </w:p>
    <w:p w14:paraId="46FE01E7" w14:textId="77777777" w:rsidR="00985812" w:rsidRPr="00653C76" w:rsidRDefault="00985812" w:rsidP="00D15F5E">
      <w:pPr>
        <w:tabs>
          <w:tab w:val="center" w:pos="4320"/>
          <w:tab w:val="right" w:pos="8640"/>
        </w:tabs>
        <w:autoSpaceDE w:val="0"/>
        <w:autoSpaceDN w:val="0"/>
        <w:adjustRightInd w:val="0"/>
        <w:spacing w:after="120"/>
        <w:jc w:val="both"/>
        <w:rPr>
          <w:rFonts w:asciiTheme="minorHAnsi" w:hAnsiTheme="minorHAnsi"/>
          <w:sz w:val="24"/>
          <w:szCs w:val="24"/>
        </w:rPr>
      </w:pPr>
      <w:r w:rsidRPr="00653C76">
        <w:rPr>
          <w:rFonts w:asciiTheme="minorHAnsi" w:hAnsiTheme="minorHAnsi"/>
          <w:smallCaps/>
          <w:sz w:val="24"/>
          <w:szCs w:val="24"/>
          <w:u w:val="single"/>
        </w:rPr>
        <w:t>Recommended Securities</w:t>
      </w:r>
    </w:p>
    <w:p w14:paraId="199BCE8A" w14:textId="42980E1F" w:rsidR="000D75D5" w:rsidRPr="000D75D5" w:rsidRDefault="007C10AA" w:rsidP="00D15F5E">
      <w:pPr>
        <w:spacing w:after="120"/>
        <w:jc w:val="both"/>
        <w:rPr>
          <w:rFonts w:asciiTheme="minorHAnsi" w:hAnsiTheme="minorHAnsi" w:cstheme="minorHAnsi"/>
          <w:sz w:val="24"/>
          <w:szCs w:val="24"/>
        </w:rPr>
      </w:pPr>
      <w:r>
        <w:rPr>
          <w:rFonts w:asciiTheme="minorHAnsi" w:hAnsiTheme="minorHAnsi" w:cstheme="minorHAnsi"/>
          <w:sz w:val="24"/>
          <w:szCs w:val="24"/>
        </w:rPr>
        <w:t xml:space="preserve">Several </w:t>
      </w:r>
      <w:r w:rsidR="000D75D5" w:rsidRPr="000D75D5">
        <w:rPr>
          <w:rFonts w:asciiTheme="minorHAnsi" w:hAnsiTheme="minorHAnsi" w:cstheme="minorHAnsi"/>
          <w:sz w:val="24"/>
          <w:szCs w:val="24"/>
        </w:rPr>
        <w:t xml:space="preserve">types of securities </w:t>
      </w:r>
      <w:r>
        <w:rPr>
          <w:rFonts w:asciiTheme="minorHAnsi" w:hAnsiTheme="minorHAnsi" w:cstheme="minorHAnsi"/>
          <w:sz w:val="24"/>
          <w:szCs w:val="24"/>
        </w:rPr>
        <w:t xml:space="preserve">are </w:t>
      </w:r>
      <w:r w:rsidR="001C3625">
        <w:rPr>
          <w:rFonts w:asciiTheme="minorHAnsi" w:hAnsiTheme="minorHAnsi" w:cstheme="minorHAnsi"/>
          <w:sz w:val="24"/>
          <w:szCs w:val="24"/>
        </w:rPr>
        <w:t>used in</w:t>
      </w:r>
      <w:r>
        <w:rPr>
          <w:rFonts w:asciiTheme="minorHAnsi" w:hAnsiTheme="minorHAnsi" w:cstheme="minorHAnsi"/>
          <w:sz w:val="24"/>
          <w:szCs w:val="24"/>
        </w:rPr>
        <w:t xml:space="preserve"> </w:t>
      </w:r>
      <w:r w:rsidR="00266096">
        <w:rPr>
          <w:rFonts w:asciiTheme="minorHAnsi" w:hAnsiTheme="minorHAnsi" w:cstheme="minorHAnsi"/>
          <w:sz w:val="24"/>
          <w:szCs w:val="24"/>
        </w:rPr>
        <w:t>your</w:t>
      </w:r>
      <w:r w:rsidR="000D75D5" w:rsidRPr="000D75D5">
        <w:rPr>
          <w:rFonts w:asciiTheme="minorHAnsi" w:hAnsiTheme="minorHAnsi" w:cstheme="minorHAnsi"/>
          <w:sz w:val="24"/>
          <w:szCs w:val="24"/>
        </w:rPr>
        <w:t xml:space="preserve"> portfolios including, bu</w:t>
      </w:r>
      <w:r w:rsidR="00E46888">
        <w:rPr>
          <w:rFonts w:asciiTheme="minorHAnsi" w:hAnsiTheme="minorHAnsi" w:cstheme="minorHAnsi"/>
          <w:sz w:val="24"/>
          <w:szCs w:val="24"/>
        </w:rPr>
        <w:t xml:space="preserve">t not limited to, </w:t>
      </w:r>
      <w:r w:rsidR="00900427">
        <w:rPr>
          <w:rFonts w:asciiTheme="minorHAnsi" w:hAnsiTheme="minorHAnsi" w:cstheme="minorHAnsi"/>
          <w:sz w:val="24"/>
          <w:szCs w:val="24"/>
        </w:rPr>
        <w:t xml:space="preserve">mutual funds, </w:t>
      </w:r>
      <w:r w:rsidR="00266096">
        <w:rPr>
          <w:rFonts w:asciiTheme="minorHAnsi" w:hAnsiTheme="minorHAnsi" w:cstheme="minorHAnsi"/>
          <w:sz w:val="24"/>
          <w:szCs w:val="24"/>
        </w:rPr>
        <w:t>inverse and leveraged funds, exchange traded funds (ETFs)</w:t>
      </w:r>
      <w:r w:rsidR="00900427">
        <w:rPr>
          <w:rFonts w:asciiTheme="minorHAnsi" w:hAnsiTheme="minorHAnsi" w:cstheme="minorHAnsi"/>
          <w:sz w:val="24"/>
          <w:szCs w:val="24"/>
        </w:rPr>
        <w:t>, s</w:t>
      </w:r>
      <w:r w:rsidR="005B5B4B">
        <w:rPr>
          <w:rFonts w:asciiTheme="minorHAnsi" w:hAnsiTheme="minorHAnsi" w:cstheme="minorHAnsi"/>
          <w:sz w:val="24"/>
          <w:szCs w:val="24"/>
        </w:rPr>
        <w:t>tock</w:t>
      </w:r>
      <w:r w:rsidR="00266096">
        <w:rPr>
          <w:rFonts w:asciiTheme="minorHAnsi" w:hAnsiTheme="minorHAnsi" w:cstheme="minorHAnsi"/>
          <w:sz w:val="24"/>
          <w:szCs w:val="24"/>
        </w:rPr>
        <w:t xml:space="preserve">s, </w:t>
      </w:r>
      <w:r w:rsidR="00900427">
        <w:rPr>
          <w:rFonts w:asciiTheme="minorHAnsi" w:hAnsiTheme="minorHAnsi" w:cstheme="minorHAnsi"/>
          <w:sz w:val="24"/>
          <w:szCs w:val="24"/>
        </w:rPr>
        <w:t>b</w:t>
      </w:r>
      <w:r w:rsidR="005B5B4B">
        <w:rPr>
          <w:rFonts w:asciiTheme="minorHAnsi" w:hAnsiTheme="minorHAnsi" w:cstheme="minorHAnsi"/>
          <w:sz w:val="24"/>
          <w:szCs w:val="24"/>
        </w:rPr>
        <w:t>onds</w:t>
      </w:r>
      <w:r w:rsidR="00266096">
        <w:rPr>
          <w:rFonts w:asciiTheme="minorHAnsi" w:hAnsiTheme="minorHAnsi" w:cstheme="minorHAnsi"/>
          <w:sz w:val="24"/>
          <w:szCs w:val="24"/>
        </w:rPr>
        <w:t>, and traded REITs.</w:t>
      </w:r>
      <w:r w:rsidR="000D75D5" w:rsidRPr="000D75D5">
        <w:rPr>
          <w:rFonts w:asciiTheme="minorHAnsi" w:hAnsiTheme="minorHAnsi" w:cstheme="minorHAnsi"/>
          <w:sz w:val="24"/>
          <w:szCs w:val="24"/>
        </w:rPr>
        <w:t xml:space="preserve"> Some of the </w:t>
      </w:r>
      <w:r w:rsidR="001C3625" w:rsidRPr="000D75D5">
        <w:rPr>
          <w:rFonts w:asciiTheme="minorHAnsi" w:hAnsiTheme="minorHAnsi" w:cstheme="minorHAnsi"/>
          <w:sz w:val="24"/>
          <w:szCs w:val="24"/>
        </w:rPr>
        <w:t>risks</w:t>
      </w:r>
      <w:r w:rsidR="000D75D5" w:rsidRPr="000D75D5">
        <w:rPr>
          <w:rFonts w:asciiTheme="minorHAnsi" w:hAnsiTheme="minorHAnsi" w:cstheme="minorHAnsi"/>
          <w:sz w:val="24"/>
          <w:szCs w:val="24"/>
        </w:rPr>
        <w:t xml:space="preserve"> associated with these securities include: </w:t>
      </w:r>
    </w:p>
    <w:p w14:paraId="432B7E45" w14:textId="77777777" w:rsidR="00985812" w:rsidRPr="0085600E" w:rsidRDefault="00985812" w:rsidP="00D15F5E">
      <w:pPr>
        <w:numPr>
          <w:ilvl w:val="0"/>
          <w:numId w:val="30"/>
        </w:numPr>
        <w:autoSpaceDE w:val="0"/>
        <w:autoSpaceDN w:val="0"/>
        <w:adjustRightInd w:val="0"/>
        <w:spacing w:after="120"/>
        <w:ind w:left="720"/>
        <w:jc w:val="both"/>
        <w:rPr>
          <w:rFonts w:asciiTheme="minorHAnsi" w:hAnsiTheme="minorHAnsi"/>
          <w:sz w:val="24"/>
          <w:szCs w:val="24"/>
        </w:rPr>
      </w:pPr>
      <w:r w:rsidRPr="00653C76">
        <w:rPr>
          <w:rFonts w:asciiTheme="minorHAnsi" w:hAnsiTheme="minorHAnsi"/>
          <w:b/>
          <w:iCs/>
          <w:sz w:val="24"/>
          <w:szCs w:val="24"/>
        </w:rPr>
        <w:t>Credit risk:</w:t>
      </w:r>
      <w:r w:rsidRPr="00653C76">
        <w:rPr>
          <w:rFonts w:asciiTheme="minorHAnsi" w:hAnsiTheme="minorHAnsi"/>
          <w:sz w:val="24"/>
          <w:szCs w:val="24"/>
        </w:rPr>
        <w:t xml:space="preserve"> This is the risk that an issuer of a bond could suffer an adverse change in financial condition that results in a payment default, security downgrade, or inability to </w:t>
      </w:r>
      <w:r w:rsidRPr="0085600E">
        <w:rPr>
          <w:rFonts w:asciiTheme="minorHAnsi" w:hAnsiTheme="minorHAnsi"/>
          <w:sz w:val="24"/>
          <w:szCs w:val="24"/>
        </w:rPr>
        <w:t>meet a financial obligation.</w:t>
      </w:r>
    </w:p>
    <w:p w14:paraId="7697F28E" w14:textId="77777777" w:rsidR="00985812" w:rsidRPr="00653C76" w:rsidRDefault="00985812" w:rsidP="00D15F5E">
      <w:pPr>
        <w:numPr>
          <w:ilvl w:val="0"/>
          <w:numId w:val="30"/>
        </w:numPr>
        <w:autoSpaceDE w:val="0"/>
        <w:autoSpaceDN w:val="0"/>
        <w:adjustRightInd w:val="0"/>
        <w:spacing w:after="120"/>
        <w:ind w:left="720"/>
        <w:jc w:val="both"/>
        <w:rPr>
          <w:rStyle w:val="apple-converted-space"/>
          <w:rFonts w:asciiTheme="minorHAnsi" w:hAnsiTheme="minorHAnsi"/>
          <w:sz w:val="24"/>
          <w:szCs w:val="24"/>
        </w:rPr>
      </w:pPr>
      <w:r w:rsidRPr="00653C76">
        <w:rPr>
          <w:rFonts w:asciiTheme="minorHAnsi" w:hAnsiTheme="minorHAnsi"/>
          <w:b/>
          <w:sz w:val="24"/>
          <w:szCs w:val="24"/>
        </w:rPr>
        <w:t xml:space="preserve">Inflation Risk: </w:t>
      </w:r>
      <w:r w:rsidRPr="00653C76">
        <w:rPr>
          <w:rFonts w:asciiTheme="minorHAnsi" w:hAnsiTheme="minorHAnsi"/>
          <w:sz w:val="24"/>
          <w:szCs w:val="24"/>
          <w:shd w:val="clear" w:color="auto" w:fill="FFFFFF"/>
        </w:rPr>
        <w:t>This is the risk that inflation will undermine the performance of an investment and/or the future purchasing power of a client's assets.</w:t>
      </w:r>
      <w:r w:rsidRPr="00653C76">
        <w:rPr>
          <w:rStyle w:val="apple-converted-space"/>
          <w:rFonts w:asciiTheme="minorHAnsi" w:hAnsiTheme="minorHAnsi"/>
          <w:sz w:val="24"/>
          <w:szCs w:val="24"/>
          <w:shd w:val="clear" w:color="auto" w:fill="FFFFFF"/>
        </w:rPr>
        <w:t> </w:t>
      </w:r>
    </w:p>
    <w:p w14:paraId="3E413B74" w14:textId="77777777" w:rsidR="00985812" w:rsidRPr="00653C76" w:rsidRDefault="00985812" w:rsidP="00D15F5E">
      <w:pPr>
        <w:numPr>
          <w:ilvl w:val="0"/>
          <w:numId w:val="30"/>
        </w:numPr>
        <w:autoSpaceDE w:val="0"/>
        <w:autoSpaceDN w:val="0"/>
        <w:adjustRightInd w:val="0"/>
        <w:spacing w:after="120"/>
        <w:ind w:left="720"/>
        <w:jc w:val="both"/>
        <w:rPr>
          <w:rFonts w:asciiTheme="minorHAnsi" w:hAnsiTheme="minorHAnsi"/>
          <w:sz w:val="24"/>
          <w:szCs w:val="24"/>
        </w:rPr>
      </w:pPr>
      <w:r w:rsidRPr="00653C76">
        <w:rPr>
          <w:rFonts w:asciiTheme="minorHAnsi" w:hAnsiTheme="minorHAnsi"/>
          <w:b/>
          <w:bCs/>
          <w:sz w:val="24"/>
          <w:szCs w:val="24"/>
        </w:rPr>
        <w:t xml:space="preserve">Interest rate risk: </w:t>
      </w:r>
      <w:r w:rsidRPr="00653C76">
        <w:rPr>
          <w:rFonts w:asciiTheme="minorHAnsi" w:hAnsiTheme="minorHAnsi"/>
          <w:sz w:val="24"/>
          <w:szCs w:val="24"/>
        </w:rPr>
        <w:t>The chance that bond prices overall will decline because of rising interest rates.</w:t>
      </w:r>
    </w:p>
    <w:p w14:paraId="6792B35F" w14:textId="574609A3" w:rsidR="000D75D5" w:rsidRDefault="00985812" w:rsidP="00D15F5E">
      <w:pPr>
        <w:numPr>
          <w:ilvl w:val="0"/>
          <w:numId w:val="30"/>
        </w:numPr>
        <w:autoSpaceDE w:val="0"/>
        <w:autoSpaceDN w:val="0"/>
        <w:adjustRightInd w:val="0"/>
        <w:spacing w:after="120"/>
        <w:ind w:left="720"/>
        <w:jc w:val="both"/>
        <w:rPr>
          <w:rFonts w:asciiTheme="minorHAnsi" w:hAnsiTheme="minorHAnsi"/>
          <w:sz w:val="24"/>
          <w:szCs w:val="24"/>
        </w:rPr>
      </w:pPr>
      <w:r w:rsidRPr="00653C76">
        <w:rPr>
          <w:rFonts w:asciiTheme="minorHAnsi" w:hAnsiTheme="minorHAnsi"/>
          <w:b/>
          <w:bCs/>
          <w:sz w:val="24"/>
          <w:szCs w:val="24"/>
        </w:rPr>
        <w:t xml:space="preserve">International investing risk: </w:t>
      </w:r>
      <w:r w:rsidRPr="00653C76">
        <w:rPr>
          <w:rFonts w:asciiTheme="minorHAnsi" w:hAnsiTheme="minorHAnsi"/>
          <w:sz w:val="24"/>
          <w:szCs w:val="24"/>
        </w:rPr>
        <w:t xml:space="preserve">Investing in the securities of non-U.S. companies involves special risks not typically associated with investing in U.S. companies. Foreign securities tend to be more volatile and less liquid than investments in U.S. securities, and may lose value because of adverse political, </w:t>
      </w:r>
      <w:r w:rsidR="00EA32FA" w:rsidRPr="00653C76">
        <w:rPr>
          <w:rFonts w:asciiTheme="minorHAnsi" w:hAnsiTheme="minorHAnsi"/>
          <w:sz w:val="24"/>
          <w:szCs w:val="24"/>
        </w:rPr>
        <w:t>social,</w:t>
      </w:r>
      <w:r w:rsidRPr="00653C76">
        <w:rPr>
          <w:rFonts w:asciiTheme="minorHAnsi" w:hAnsiTheme="minorHAnsi"/>
          <w:sz w:val="24"/>
          <w:szCs w:val="24"/>
        </w:rPr>
        <w:t xml:space="preserve"> or economic developments overseas or due to changes in the exchange rates between foreign currencies and the U.S. dollar. In addition, foreign investments are subject to settlement practices, as well as regulatory and financial reporting standards, </w:t>
      </w:r>
      <w:r w:rsidR="001C3625" w:rsidRPr="00653C76">
        <w:rPr>
          <w:rFonts w:asciiTheme="minorHAnsi" w:hAnsiTheme="minorHAnsi"/>
          <w:sz w:val="24"/>
          <w:szCs w:val="24"/>
        </w:rPr>
        <w:t>which</w:t>
      </w:r>
      <w:r w:rsidRPr="00653C76">
        <w:rPr>
          <w:rFonts w:asciiTheme="minorHAnsi" w:hAnsiTheme="minorHAnsi"/>
          <w:sz w:val="24"/>
          <w:szCs w:val="24"/>
        </w:rPr>
        <w:t xml:space="preserve"> differ from those of the U.S.</w:t>
      </w:r>
    </w:p>
    <w:p w14:paraId="01F82260" w14:textId="77777777" w:rsidR="00985812" w:rsidRPr="00653C76" w:rsidRDefault="00985812" w:rsidP="00D15F5E">
      <w:pPr>
        <w:numPr>
          <w:ilvl w:val="0"/>
          <w:numId w:val="13"/>
        </w:numPr>
        <w:spacing w:after="120"/>
        <w:jc w:val="both"/>
        <w:rPr>
          <w:rFonts w:asciiTheme="minorHAnsi" w:hAnsiTheme="minorHAnsi"/>
          <w:sz w:val="24"/>
          <w:szCs w:val="24"/>
        </w:rPr>
      </w:pPr>
      <w:r w:rsidRPr="00653C76">
        <w:rPr>
          <w:rFonts w:asciiTheme="minorHAnsi" w:hAnsiTheme="minorHAnsi"/>
          <w:b/>
          <w:bCs/>
          <w:sz w:val="24"/>
          <w:szCs w:val="24"/>
        </w:rPr>
        <w:lastRenderedPageBreak/>
        <w:t xml:space="preserve">Manager risk: </w:t>
      </w:r>
      <w:r w:rsidRPr="00653C76">
        <w:rPr>
          <w:rFonts w:asciiTheme="minorHAnsi" w:hAnsiTheme="minorHAnsi"/>
          <w:sz w:val="24"/>
          <w:szCs w:val="24"/>
        </w:rPr>
        <w:t>The chance that the proportions allocated to the various securities will cause the client’s account to underperform relevant to benchmarks or other accounts with a similar investment objective.</w:t>
      </w:r>
    </w:p>
    <w:p w14:paraId="274B6EB4" w14:textId="6E09E238" w:rsidR="00985812" w:rsidRPr="00266096" w:rsidRDefault="00985812" w:rsidP="00226CC3">
      <w:pPr>
        <w:numPr>
          <w:ilvl w:val="0"/>
          <w:numId w:val="13"/>
        </w:numPr>
        <w:spacing w:after="120"/>
        <w:jc w:val="both"/>
        <w:rPr>
          <w:rFonts w:asciiTheme="minorHAnsi" w:hAnsiTheme="minorHAnsi"/>
          <w:color w:val="000000"/>
          <w:sz w:val="24"/>
          <w:szCs w:val="24"/>
        </w:rPr>
      </w:pPr>
      <w:r w:rsidRPr="00653C76">
        <w:rPr>
          <w:rFonts w:asciiTheme="minorHAnsi" w:hAnsiTheme="minorHAnsi"/>
          <w:b/>
          <w:bCs/>
          <w:sz w:val="24"/>
          <w:szCs w:val="24"/>
        </w:rPr>
        <w:t xml:space="preserve">Stock market risk: </w:t>
      </w:r>
      <w:r w:rsidRPr="00653C76">
        <w:rPr>
          <w:rFonts w:asciiTheme="minorHAnsi" w:hAnsiTheme="minorHAnsi"/>
          <w:sz w:val="24"/>
          <w:szCs w:val="24"/>
        </w:rPr>
        <w:t xml:space="preserve">The chance that stock prices overall will decline. Stock markets tend to move in cycles, with periods of rising stock prices and periods of falling stock prices.   </w:t>
      </w:r>
    </w:p>
    <w:p w14:paraId="0C386440" w14:textId="512E6380" w:rsidR="00266096" w:rsidRDefault="00266096" w:rsidP="00226CC3">
      <w:pPr>
        <w:numPr>
          <w:ilvl w:val="0"/>
          <w:numId w:val="13"/>
        </w:numPr>
        <w:spacing w:after="120"/>
        <w:jc w:val="both"/>
        <w:rPr>
          <w:rFonts w:asciiTheme="minorHAnsi" w:hAnsiTheme="minorHAnsi"/>
          <w:color w:val="000000"/>
          <w:sz w:val="24"/>
          <w:szCs w:val="24"/>
        </w:rPr>
      </w:pPr>
      <w:r>
        <w:rPr>
          <w:rFonts w:asciiTheme="minorHAnsi" w:hAnsiTheme="minorHAnsi"/>
          <w:b/>
          <w:bCs/>
          <w:sz w:val="24"/>
          <w:szCs w:val="24"/>
        </w:rPr>
        <w:t>Mutual fund manager risk:</w:t>
      </w:r>
      <w:r>
        <w:rPr>
          <w:rFonts w:asciiTheme="minorHAnsi" w:hAnsiTheme="minorHAnsi"/>
          <w:color w:val="000000"/>
          <w:sz w:val="24"/>
          <w:szCs w:val="24"/>
        </w:rPr>
        <w:t xml:space="preserve"> The chance that the proportions allocated to the various mutual funds will cause the client’s account to underperform relevant to benchmarks or other accounts with similar investment objectives.  </w:t>
      </w:r>
    </w:p>
    <w:p w14:paraId="7BAC13CB" w14:textId="55840B74" w:rsidR="00266096" w:rsidRDefault="00266096" w:rsidP="00226CC3">
      <w:pPr>
        <w:numPr>
          <w:ilvl w:val="0"/>
          <w:numId w:val="13"/>
        </w:numPr>
        <w:spacing w:after="120"/>
        <w:jc w:val="both"/>
        <w:rPr>
          <w:rFonts w:asciiTheme="minorHAnsi" w:hAnsiTheme="minorHAnsi"/>
          <w:color w:val="000000"/>
          <w:sz w:val="24"/>
          <w:szCs w:val="24"/>
        </w:rPr>
      </w:pPr>
      <w:r>
        <w:rPr>
          <w:rFonts w:asciiTheme="minorHAnsi" w:hAnsiTheme="minorHAnsi"/>
          <w:b/>
          <w:bCs/>
          <w:sz w:val="24"/>
          <w:szCs w:val="24"/>
        </w:rPr>
        <w:t>Inverse Risk:</w:t>
      </w:r>
      <w:r>
        <w:rPr>
          <w:rFonts w:asciiTheme="minorHAnsi" w:hAnsiTheme="minorHAnsi"/>
          <w:color w:val="000000"/>
          <w:sz w:val="24"/>
          <w:szCs w:val="24"/>
        </w:rPr>
        <w:t xml:space="preserve"> An inverse ETF or mutual fund attempts to mimic the inverse, or opposite, of its stated benchmark.  For example, an inverse S&amp;P 500 ETF would attempt to deliver the opposite of the S&amp;P 500’s daily performance, net of fees.  These funds, also called “short ETFs or Bear ETFs” are often in an attempt to profit </w:t>
      </w:r>
      <w:r w:rsidR="00EA32FA">
        <w:rPr>
          <w:rFonts w:asciiTheme="minorHAnsi" w:hAnsiTheme="minorHAnsi"/>
          <w:color w:val="000000"/>
          <w:sz w:val="24"/>
          <w:szCs w:val="24"/>
        </w:rPr>
        <w:t>from</w:t>
      </w:r>
      <w:r>
        <w:rPr>
          <w:rFonts w:asciiTheme="minorHAnsi" w:hAnsiTheme="minorHAnsi"/>
          <w:color w:val="000000"/>
          <w:sz w:val="24"/>
          <w:szCs w:val="24"/>
        </w:rPr>
        <w:t xml:space="preserve"> a downturn in a given market, sector, or index, or to hedge against a potential loss in their portfolio.  Although an inverse ETF or mutual fund does </w:t>
      </w:r>
      <w:r w:rsidR="001C3625">
        <w:rPr>
          <w:rFonts w:asciiTheme="minorHAnsi" w:hAnsiTheme="minorHAnsi"/>
          <w:color w:val="000000"/>
          <w:sz w:val="24"/>
          <w:szCs w:val="24"/>
        </w:rPr>
        <w:t>not</w:t>
      </w:r>
      <w:r>
        <w:rPr>
          <w:rFonts w:asciiTheme="minorHAnsi" w:hAnsiTheme="minorHAnsi"/>
          <w:color w:val="000000"/>
          <w:sz w:val="24"/>
          <w:szCs w:val="24"/>
        </w:rPr>
        <w:t xml:space="preserve"> explicitly use leverage to magnify the intended return, they can suffer from the same compounding effects as the leveraged long and leveraged short ETFs.  </w:t>
      </w:r>
    </w:p>
    <w:p w14:paraId="0468B992" w14:textId="260E3CA4" w:rsidR="00226CC3" w:rsidRPr="00226CC3" w:rsidRDefault="00266096" w:rsidP="00226CC3">
      <w:pPr>
        <w:pStyle w:val="ListParagraph"/>
        <w:numPr>
          <w:ilvl w:val="0"/>
          <w:numId w:val="13"/>
        </w:numPr>
        <w:autoSpaceDE w:val="0"/>
        <w:autoSpaceDN w:val="0"/>
        <w:adjustRightInd w:val="0"/>
        <w:spacing w:after="120"/>
        <w:contextualSpacing w:val="0"/>
        <w:jc w:val="both"/>
        <w:rPr>
          <w:rFonts w:asciiTheme="minorHAnsi" w:hAnsiTheme="minorHAnsi" w:cstheme="minorHAnsi"/>
          <w:sz w:val="24"/>
          <w:szCs w:val="24"/>
        </w:rPr>
      </w:pPr>
      <w:r w:rsidRPr="00266096">
        <w:rPr>
          <w:rFonts w:asciiTheme="minorHAnsi" w:hAnsiTheme="minorHAnsi" w:cstheme="minorHAnsi"/>
          <w:b/>
          <w:bCs/>
          <w:sz w:val="24"/>
          <w:szCs w:val="24"/>
        </w:rPr>
        <w:t xml:space="preserve">Leveraged Risk: </w:t>
      </w:r>
      <w:r w:rsidRPr="00266096">
        <w:rPr>
          <w:rFonts w:asciiTheme="minorHAnsi" w:hAnsiTheme="minorHAnsi" w:cstheme="minorHAnsi"/>
          <w:sz w:val="24"/>
          <w:szCs w:val="24"/>
        </w:rPr>
        <w:t>A leveraged ETF or mutual fund seeks to generate a return that is a multiple (usually 2X</w:t>
      </w:r>
      <w:r>
        <w:rPr>
          <w:rFonts w:asciiTheme="minorHAnsi" w:hAnsiTheme="minorHAnsi" w:cstheme="minorHAnsi"/>
          <w:sz w:val="24"/>
          <w:szCs w:val="24"/>
        </w:rPr>
        <w:t xml:space="preserve"> </w:t>
      </w:r>
      <w:r w:rsidRPr="00266096">
        <w:rPr>
          <w:rFonts w:asciiTheme="minorHAnsi" w:hAnsiTheme="minorHAnsi" w:cstheme="minorHAnsi"/>
          <w:sz w:val="24"/>
          <w:szCs w:val="24"/>
        </w:rPr>
        <w:t>or 3X or -2X or -3X) of its benchmark index's performance over a specific, pre-set time period indicated in the fund’s prospectus. That time period is also referred to as the "rebalancing period", and it is generally only one day, although it could be for a longer time period such as a month. As a result, the returns for these types of ETFs or mutual funds can differ significantly from that of their benchmark index, over periods lasting longer than the rebalancing period because of the compounding of returns. Generally, the longer the security is held, the more likely the returns of the leveraged product will differ from the long- term return of the index. Although potential returns are increased by leveraging, so are the potential losses, so these securities carry significant risk. As a result, leveraged and inverse ETFs or mutual funds are intended only for sophisticated investors with an aggressive tolerance for risk.</w:t>
      </w:r>
    </w:p>
    <w:p w14:paraId="0CF2451E" w14:textId="2B9671C2" w:rsidR="00226CC3" w:rsidRPr="00226CC3" w:rsidRDefault="00226CC3" w:rsidP="00226CC3">
      <w:pPr>
        <w:pStyle w:val="ListParagraph"/>
        <w:numPr>
          <w:ilvl w:val="0"/>
          <w:numId w:val="13"/>
        </w:numPr>
        <w:autoSpaceDE w:val="0"/>
        <w:autoSpaceDN w:val="0"/>
        <w:adjustRightInd w:val="0"/>
        <w:spacing w:after="120"/>
        <w:contextualSpacing w:val="0"/>
        <w:jc w:val="both"/>
        <w:rPr>
          <w:rFonts w:asciiTheme="minorHAnsi" w:hAnsiTheme="minorHAnsi" w:cstheme="minorHAnsi"/>
          <w:sz w:val="24"/>
          <w:szCs w:val="24"/>
        </w:rPr>
      </w:pPr>
      <w:r>
        <w:rPr>
          <w:rFonts w:asciiTheme="minorHAnsi" w:hAnsiTheme="minorHAnsi" w:cstheme="minorHAnsi"/>
          <w:b/>
          <w:bCs/>
          <w:sz w:val="24"/>
          <w:szCs w:val="24"/>
        </w:rPr>
        <w:t xml:space="preserve">REIT Market Risk: </w:t>
      </w:r>
      <w:r w:rsidRPr="00226CC3">
        <w:rPr>
          <w:sz w:val="24"/>
          <w:szCs w:val="24"/>
        </w:rPr>
        <w:t>REITs have no control over market and business conditions and are vulnerable to market risk and slowdowns. External conditions beyond its control may reduce the value of properties that it acquires, the ability of tenants to pay rent on a timely basis, the amount of rent that can be charged and the ability of borrowers to make loan payments on a timely basis or at all. Cash available for distribution to stockholders can be affected by the tenant’s inability to make rent or pay loans.</w:t>
      </w:r>
    </w:p>
    <w:p w14:paraId="6825CB39" w14:textId="3CBC7841" w:rsidR="00226CC3" w:rsidRPr="00226CC3" w:rsidRDefault="00226CC3" w:rsidP="00226CC3">
      <w:pPr>
        <w:pStyle w:val="ListParagraph"/>
        <w:numPr>
          <w:ilvl w:val="0"/>
          <w:numId w:val="13"/>
        </w:numPr>
        <w:autoSpaceDE w:val="0"/>
        <w:autoSpaceDN w:val="0"/>
        <w:adjustRightInd w:val="0"/>
        <w:spacing w:after="120"/>
        <w:contextualSpacing w:val="0"/>
        <w:jc w:val="both"/>
        <w:rPr>
          <w:rFonts w:asciiTheme="minorHAnsi" w:hAnsiTheme="minorHAnsi" w:cstheme="minorHAnsi"/>
          <w:sz w:val="24"/>
          <w:szCs w:val="24"/>
        </w:rPr>
      </w:pPr>
      <w:r>
        <w:rPr>
          <w:rFonts w:asciiTheme="minorHAnsi" w:hAnsiTheme="minorHAnsi" w:cstheme="minorHAnsi"/>
          <w:b/>
          <w:bCs/>
          <w:sz w:val="24"/>
          <w:szCs w:val="24"/>
        </w:rPr>
        <w:t xml:space="preserve">REIT Qualifying Risk: </w:t>
      </w:r>
      <w:r w:rsidRPr="00226CC3">
        <w:rPr>
          <w:sz w:val="24"/>
          <w:szCs w:val="24"/>
        </w:rPr>
        <w:t>REITs must be organized and operated and intend to continue to be organized and to operate, in a manner that will enable them to qualify as a REIT for federal income tax purposes. No assurance can be given that a REIT qualifies or will continue to qualify as a REIT. If a REIT fails to qualify as a REIT, it will be subject to federal income tax at regular corporate rates. If a REIT fails to qualify, the funds available for distribution to investors would be greatly reduced for each of the years involved.</w:t>
      </w:r>
    </w:p>
    <w:p w14:paraId="15CB90B9" w14:textId="4265F03B" w:rsidR="00266096" w:rsidRPr="001C2538" w:rsidRDefault="00226CC3" w:rsidP="001C2538">
      <w:pPr>
        <w:pStyle w:val="ListParagraph"/>
        <w:numPr>
          <w:ilvl w:val="0"/>
          <w:numId w:val="13"/>
        </w:numPr>
        <w:autoSpaceDE w:val="0"/>
        <w:autoSpaceDN w:val="0"/>
        <w:adjustRightInd w:val="0"/>
        <w:spacing w:after="240"/>
        <w:contextualSpacing w:val="0"/>
        <w:jc w:val="both"/>
        <w:rPr>
          <w:rFonts w:asciiTheme="minorHAnsi" w:hAnsiTheme="minorHAnsi" w:cstheme="minorHAnsi"/>
          <w:color w:val="000000"/>
          <w:sz w:val="24"/>
          <w:szCs w:val="24"/>
        </w:rPr>
      </w:pPr>
      <w:r>
        <w:rPr>
          <w:rFonts w:asciiTheme="minorHAnsi" w:hAnsiTheme="minorHAnsi" w:cstheme="minorHAnsi"/>
          <w:b/>
          <w:bCs/>
          <w:sz w:val="24"/>
          <w:szCs w:val="24"/>
        </w:rPr>
        <w:lastRenderedPageBreak/>
        <w:t>REIT Tenant Strength Risk:</w:t>
      </w:r>
      <w:r>
        <w:rPr>
          <w:rFonts w:asciiTheme="minorHAnsi" w:hAnsiTheme="minorHAnsi" w:cstheme="minorHAnsi"/>
          <w:sz w:val="24"/>
          <w:szCs w:val="24"/>
        </w:rPr>
        <w:t xml:space="preserve"> </w:t>
      </w:r>
      <w:r w:rsidRPr="00226CC3">
        <w:rPr>
          <w:sz w:val="24"/>
          <w:szCs w:val="24"/>
        </w:rPr>
        <w:t xml:space="preserve">REITs revenues are highly dependent on lease payments from its properties and interest payments on the loans it makes. Defaults by tenants or borrowers reduce the cash available for repayment of outstanding debt and distribution to investors. If tenants have multiple properties or borrowers have multiple loans it increases the risk of more than one property or loan going bad if that tenant or borrower defaults. More than one property could become </w:t>
      </w:r>
      <w:r w:rsidR="00EA32FA" w:rsidRPr="00226CC3">
        <w:rPr>
          <w:sz w:val="24"/>
          <w:szCs w:val="24"/>
        </w:rPr>
        <w:t>vacant,</w:t>
      </w:r>
      <w:r w:rsidRPr="00226CC3">
        <w:rPr>
          <w:sz w:val="24"/>
          <w:szCs w:val="24"/>
        </w:rPr>
        <w:t xml:space="preserve"> or loans are in default because of the financial failure of one tenant or borrower. Multiple vacancies or defaults can reduce a REIT’s cash receipts and funds available for distribution and could decrease the value of the affected properties.</w:t>
      </w:r>
    </w:p>
    <w:p w14:paraId="13E2C138" w14:textId="77777777" w:rsidR="00DC6CF0" w:rsidRPr="00191618" w:rsidRDefault="00DC6CF0" w:rsidP="00D15F5E">
      <w:pPr>
        <w:pStyle w:val="Heading1"/>
        <w:spacing w:before="0"/>
        <w:rPr>
          <w:rFonts w:asciiTheme="majorHAnsi" w:hAnsiTheme="majorHAnsi" w:cstheme="majorHAnsi"/>
        </w:rPr>
      </w:pPr>
      <w:bookmarkStart w:id="9" w:name="_Toc193370246"/>
      <w:r w:rsidRPr="00191618">
        <w:rPr>
          <w:rFonts w:asciiTheme="majorHAnsi" w:hAnsiTheme="majorHAnsi" w:cstheme="majorHAnsi"/>
        </w:rPr>
        <w:t>Item 9 – Disciplinary Information</w:t>
      </w:r>
      <w:bookmarkEnd w:id="9"/>
    </w:p>
    <w:p w14:paraId="407194F8" w14:textId="4A5C626A" w:rsidR="000745CC" w:rsidRDefault="00226CC3" w:rsidP="000745CC">
      <w:pPr>
        <w:spacing w:after="120" w:line="300" w:lineRule="atLeast"/>
        <w:rPr>
          <w:rFonts w:asciiTheme="minorHAnsi" w:hAnsiTheme="minorHAnsi" w:cstheme="minorHAnsi"/>
          <w:i/>
          <w:sz w:val="24"/>
          <w:szCs w:val="20"/>
        </w:rPr>
      </w:pPr>
      <w:bookmarkStart w:id="10" w:name="_Hlk499630156"/>
      <w:r>
        <w:rPr>
          <w:rFonts w:asciiTheme="minorHAnsi" w:hAnsiTheme="minorHAnsi" w:cstheme="minorHAnsi"/>
          <w:sz w:val="24"/>
          <w:szCs w:val="24"/>
        </w:rPr>
        <w:t xml:space="preserve">Registered investment advisers are required to disclose all material facts regarding any legal or disciplinary events that would be material to your evaluation of each supervised person providing investment adviser.  We do not have information applicable to this Item. </w:t>
      </w:r>
    </w:p>
    <w:p w14:paraId="606CBAD2" w14:textId="77777777" w:rsidR="00E04433" w:rsidRPr="00191618" w:rsidRDefault="00DC6CF0" w:rsidP="00E04433">
      <w:pPr>
        <w:pStyle w:val="Heading1"/>
        <w:spacing w:before="0" w:after="120"/>
        <w:rPr>
          <w:rFonts w:asciiTheme="majorHAnsi" w:hAnsiTheme="majorHAnsi" w:cstheme="majorHAnsi"/>
        </w:rPr>
      </w:pPr>
      <w:bookmarkStart w:id="11" w:name="_Toc193370247"/>
      <w:bookmarkEnd w:id="10"/>
      <w:r w:rsidRPr="00191618">
        <w:rPr>
          <w:rFonts w:asciiTheme="majorHAnsi" w:hAnsiTheme="majorHAnsi" w:cstheme="majorHAnsi"/>
        </w:rPr>
        <w:t>Item 10 – Other Financial Industry Activities and Affiliations</w:t>
      </w:r>
      <w:bookmarkEnd w:id="11"/>
    </w:p>
    <w:p w14:paraId="4647E421" w14:textId="77777777" w:rsidR="00F33353" w:rsidRDefault="00F33353" w:rsidP="00F33353">
      <w:pPr>
        <w:spacing w:after="120"/>
        <w:rPr>
          <w:smallCaps/>
          <w:sz w:val="24"/>
          <w:szCs w:val="24"/>
          <w:u w:val="single"/>
        </w:rPr>
      </w:pPr>
      <w:r w:rsidRPr="00F33353">
        <w:rPr>
          <w:smallCaps/>
          <w:sz w:val="24"/>
          <w:szCs w:val="24"/>
          <w:u w:val="single"/>
        </w:rPr>
        <w:t>Broker Dealer Affiliation</w:t>
      </w:r>
    </w:p>
    <w:p w14:paraId="4F0797A9" w14:textId="77777777" w:rsidR="00F33353" w:rsidRDefault="008A7E75" w:rsidP="001C2538">
      <w:pPr>
        <w:spacing w:after="120"/>
        <w:jc w:val="both"/>
        <w:rPr>
          <w:sz w:val="24"/>
          <w:szCs w:val="24"/>
        </w:rPr>
      </w:pPr>
      <w:r>
        <w:rPr>
          <w:sz w:val="24"/>
          <w:szCs w:val="24"/>
        </w:rPr>
        <w:t xml:space="preserve">We are not registered as or have pending applications to become a broker-dealer or representatives of a broker-dealer.  </w:t>
      </w:r>
    </w:p>
    <w:p w14:paraId="715207C8" w14:textId="77777777" w:rsidR="00F33353" w:rsidRDefault="00F33353" w:rsidP="00F33353">
      <w:pPr>
        <w:spacing w:after="120"/>
        <w:rPr>
          <w:sz w:val="24"/>
          <w:szCs w:val="24"/>
        </w:rPr>
      </w:pPr>
      <w:r>
        <w:rPr>
          <w:smallCaps/>
          <w:sz w:val="24"/>
          <w:szCs w:val="24"/>
          <w:u w:val="single"/>
        </w:rPr>
        <w:t>Futures/Commodities Firm Affiliation</w:t>
      </w:r>
    </w:p>
    <w:p w14:paraId="7301783E" w14:textId="77777777" w:rsidR="00A644D8" w:rsidRDefault="005C4749" w:rsidP="00F33353">
      <w:pPr>
        <w:spacing w:after="120"/>
        <w:rPr>
          <w:sz w:val="24"/>
          <w:szCs w:val="24"/>
        </w:rPr>
      </w:pPr>
      <w:r>
        <w:rPr>
          <w:sz w:val="24"/>
          <w:szCs w:val="24"/>
        </w:rPr>
        <w:t>We are not affiliated with a futures or commodities broker.</w:t>
      </w:r>
    </w:p>
    <w:p w14:paraId="1A6ED4A4" w14:textId="77777777" w:rsidR="005C4749" w:rsidRDefault="005C4749" w:rsidP="00F33353">
      <w:pPr>
        <w:spacing w:after="120"/>
        <w:rPr>
          <w:smallCaps/>
          <w:sz w:val="24"/>
          <w:szCs w:val="24"/>
          <w:u w:val="single"/>
        </w:rPr>
      </w:pPr>
      <w:r>
        <w:rPr>
          <w:smallCaps/>
          <w:sz w:val="24"/>
          <w:szCs w:val="24"/>
          <w:u w:val="single"/>
        </w:rPr>
        <w:t>Other Industry Affiliations</w:t>
      </w:r>
    </w:p>
    <w:p w14:paraId="669C6944" w14:textId="3ADFFB32" w:rsidR="00D94EE0" w:rsidRDefault="005B5B4B" w:rsidP="005B5B4B">
      <w:pPr>
        <w:spacing w:after="120"/>
        <w:jc w:val="both"/>
        <w:rPr>
          <w:sz w:val="24"/>
          <w:szCs w:val="24"/>
        </w:rPr>
      </w:pPr>
      <w:r>
        <w:rPr>
          <w:sz w:val="24"/>
          <w:szCs w:val="24"/>
        </w:rPr>
        <w:t>Our owner</w:t>
      </w:r>
      <w:r w:rsidR="003834A4">
        <w:rPr>
          <w:sz w:val="24"/>
          <w:szCs w:val="24"/>
        </w:rPr>
        <w:t>s</w:t>
      </w:r>
      <w:r>
        <w:rPr>
          <w:sz w:val="24"/>
          <w:szCs w:val="24"/>
        </w:rPr>
        <w:t xml:space="preserve"> or associates </w:t>
      </w:r>
      <w:r w:rsidR="003834A4">
        <w:rPr>
          <w:sz w:val="24"/>
          <w:szCs w:val="24"/>
        </w:rPr>
        <w:t>are</w:t>
      </w:r>
      <w:r>
        <w:rPr>
          <w:sz w:val="24"/>
          <w:szCs w:val="24"/>
        </w:rPr>
        <w:t xml:space="preserve"> independent insurance </w:t>
      </w:r>
      <w:r w:rsidR="00EA32FA">
        <w:rPr>
          <w:sz w:val="24"/>
          <w:szCs w:val="24"/>
        </w:rPr>
        <w:t>agents,</w:t>
      </w:r>
      <w:r>
        <w:rPr>
          <w:sz w:val="24"/>
          <w:szCs w:val="24"/>
        </w:rPr>
        <w:t xml:space="preserve"> and</w:t>
      </w:r>
      <w:r w:rsidR="003834A4">
        <w:rPr>
          <w:sz w:val="24"/>
          <w:szCs w:val="24"/>
        </w:rPr>
        <w:t xml:space="preserve"> they</w:t>
      </w:r>
      <w:r>
        <w:rPr>
          <w:sz w:val="24"/>
          <w:szCs w:val="24"/>
        </w:rPr>
        <w:t xml:space="preserve"> may recommend </w:t>
      </w:r>
      <w:r w:rsidR="00226CC3">
        <w:rPr>
          <w:sz w:val="24"/>
          <w:szCs w:val="24"/>
        </w:rPr>
        <w:t>the sale of insurance products to you. This other business activity pays them commissions that are separate from the fees described in Item 5, above.  The commissions give them a financial incentive to recommend and sell you the insurance products. W</w:t>
      </w:r>
      <w:r>
        <w:rPr>
          <w:sz w:val="24"/>
          <w:szCs w:val="24"/>
        </w:rPr>
        <w:t xml:space="preserve">e attempt to mitigate any conflicts of interest to the best </w:t>
      </w:r>
      <w:r w:rsidR="00226CC3">
        <w:rPr>
          <w:sz w:val="24"/>
          <w:szCs w:val="24"/>
        </w:rPr>
        <w:t>of our ability by placing your interest ahead of our own and through the implementation of policies and procedures that address the conflict.</w:t>
      </w:r>
      <w:r>
        <w:rPr>
          <w:sz w:val="24"/>
          <w:szCs w:val="24"/>
        </w:rPr>
        <w:t xml:space="preserve"> </w:t>
      </w:r>
      <w:r w:rsidR="00226CC3">
        <w:rPr>
          <w:sz w:val="24"/>
          <w:szCs w:val="24"/>
        </w:rPr>
        <w:t>Additionally</w:t>
      </w:r>
      <w:r w:rsidR="00172B63">
        <w:rPr>
          <w:sz w:val="24"/>
          <w:szCs w:val="24"/>
        </w:rPr>
        <w:t>,</w:t>
      </w:r>
      <w:r w:rsidR="00226CC3">
        <w:rPr>
          <w:sz w:val="24"/>
          <w:szCs w:val="24"/>
        </w:rPr>
        <w:t xml:space="preserve"> you are informed that you always have the right to choose whether to act on the recommendation and you have the right to purchase recommended insurance through any licensed insurance agent.  </w:t>
      </w:r>
    </w:p>
    <w:p w14:paraId="15027D02" w14:textId="417CD43A" w:rsidR="00D25C7E" w:rsidRDefault="00D25C7E" w:rsidP="00D25C7E">
      <w:pPr>
        <w:spacing w:after="120"/>
        <w:rPr>
          <w:smallCaps/>
          <w:sz w:val="24"/>
          <w:szCs w:val="24"/>
          <w:u w:val="single"/>
        </w:rPr>
      </w:pPr>
      <w:r>
        <w:rPr>
          <w:smallCaps/>
          <w:sz w:val="24"/>
          <w:szCs w:val="24"/>
          <w:u w:val="single"/>
        </w:rPr>
        <w:t xml:space="preserve">Recommendation of </w:t>
      </w:r>
      <w:r w:rsidR="00A7272B">
        <w:rPr>
          <w:smallCaps/>
          <w:sz w:val="24"/>
          <w:szCs w:val="24"/>
          <w:u w:val="single"/>
        </w:rPr>
        <w:t>Third-</w:t>
      </w:r>
      <w:r>
        <w:rPr>
          <w:smallCaps/>
          <w:sz w:val="24"/>
          <w:szCs w:val="24"/>
          <w:u w:val="single"/>
        </w:rPr>
        <w:t>Party Investment Adviser</w:t>
      </w:r>
    </w:p>
    <w:p w14:paraId="1B826562" w14:textId="3A11C5A7" w:rsidR="003845E5" w:rsidRDefault="00953757" w:rsidP="00D25C7E">
      <w:pPr>
        <w:spacing w:after="240"/>
        <w:jc w:val="both"/>
        <w:rPr>
          <w:sz w:val="24"/>
          <w:szCs w:val="24"/>
        </w:rPr>
      </w:pPr>
      <w:r>
        <w:rPr>
          <w:sz w:val="24"/>
          <w:szCs w:val="24"/>
        </w:rPr>
        <w:t>We</w:t>
      </w:r>
      <w:r w:rsidR="00A36448">
        <w:rPr>
          <w:sz w:val="24"/>
          <w:szCs w:val="24"/>
        </w:rPr>
        <w:t xml:space="preserve"> may</w:t>
      </w:r>
      <w:r>
        <w:rPr>
          <w:sz w:val="24"/>
          <w:szCs w:val="24"/>
        </w:rPr>
        <w:t xml:space="preserve"> </w:t>
      </w:r>
      <w:r w:rsidR="00390FC4">
        <w:rPr>
          <w:sz w:val="24"/>
          <w:szCs w:val="24"/>
        </w:rPr>
        <w:t xml:space="preserve">use </w:t>
      </w:r>
      <w:r>
        <w:rPr>
          <w:sz w:val="24"/>
          <w:szCs w:val="24"/>
        </w:rPr>
        <w:t xml:space="preserve">the services of a sub-adviser to manage some or all of your assets on a discretionary basis and in accordance with your investment objectives.  We will ensure that the sub-adviser is properly registered or exempt from registration in your state of residence prior to making any recommendations.  A detailed description of these services can be found under Items 4 and 5 above.  </w:t>
      </w:r>
    </w:p>
    <w:p w14:paraId="74782828" w14:textId="77777777" w:rsidR="008B4CF3" w:rsidRPr="008B4CF3" w:rsidRDefault="00DC6CF0" w:rsidP="008B4CF3">
      <w:pPr>
        <w:pStyle w:val="Heading1"/>
        <w:spacing w:before="0" w:after="120"/>
        <w:rPr>
          <w:rFonts w:asciiTheme="majorHAnsi" w:hAnsiTheme="majorHAnsi" w:cstheme="majorHAnsi"/>
        </w:rPr>
      </w:pPr>
      <w:bookmarkStart w:id="12" w:name="_Toc193370248"/>
      <w:r w:rsidRPr="00191618">
        <w:rPr>
          <w:rFonts w:asciiTheme="majorHAnsi" w:hAnsiTheme="majorHAnsi" w:cstheme="majorHAnsi"/>
        </w:rPr>
        <w:lastRenderedPageBreak/>
        <w:t>Item 11 – Code of Ethics, Participation or Interest in Client Transaction</w:t>
      </w:r>
      <w:r w:rsidR="00437825" w:rsidRPr="00191618">
        <w:rPr>
          <w:rFonts w:asciiTheme="majorHAnsi" w:hAnsiTheme="majorHAnsi" w:cstheme="majorHAnsi"/>
        </w:rPr>
        <w:t>s</w:t>
      </w:r>
      <w:r w:rsidRPr="00191618">
        <w:rPr>
          <w:rFonts w:asciiTheme="majorHAnsi" w:hAnsiTheme="majorHAnsi" w:cstheme="majorHAnsi"/>
        </w:rPr>
        <w:t xml:space="preserve"> and Personal Trading</w:t>
      </w:r>
      <w:bookmarkEnd w:id="12"/>
    </w:p>
    <w:p w14:paraId="40A97247" w14:textId="77777777" w:rsidR="00A10217" w:rsidRPr="00653C76" w:rsidRDefault="00A10217" w:rsidP="00D15F5E">
      <w:pPr>
        <w:spacing w:after="120"/>
        <w:jc w:val="both"/>
        <w:rPr>
          <w:rFonts w:asciiTheme="minorHAnsi" w:hAnsiTheme="minorHAnsi"/>
          <w:smallCaps/>
          <w:sz w:val="24"/>
          <w:szCs w:val="24"/>
          <w:u w:val="single"/>
        </w:rPr>
      </w:pPr>
      <w:r w:rsidRPr="00653C76">
        <w:rPr>
          <w:rFonts w:asciiTheme="minorHAnsi" w:hAnsiTheme="minorHAnsi"/>
          <w:smallCaps/>
          <w:sz w:val="24"/>
          <w:szCs w:val="24"/>
          <w:u w:val="single"/>
        </w:rPr>
        <w:t xml:space="preserve">Description </w:t>
      </w:r>
    </w:p>
    <w:p w14:paraId="3F91EF6D" w14:textId="77777777" w:rsidR="007037F9" w:rsidRPr="00653C76" w:rsidRDefault="007037F9" w:rsidP="00523B8F">
      <w:pPr>
        <w:pStyle w:val="Body1"/>
        <w:spacing w:after="120"/>
        <w:jc w:val="both"/>
        <w:outlineLvl w:val="9"/>
        <w:rPr>
          <w:rFonts w:asciiTheme="minorHAnsi" w:hAnsiTheme="minorHAnsi"/>
          <w:color w:val="auto"/>
          <w:sz w:val="24"/>
        </w:rPr>
      </w:pPr>
      <w:bookmarkStart w:id="13" w:name="_Toc466102538"/>
      <w:r w:rsidRPr="00653C76">
        <w:rPr>
          <w:rFonts w:asciiTheme="minorHAnsi" w:hAnsiTheme="minorHAnsi"/>
          <w:color w:val="auto"/>
          <w:sz w:val="24"/>
        </w:rPr>
        <w:t>Our Code of Ethics establishes ideals for ethical conduct</w:t>
      </w:r>
      <w:r w:rsidR="00521D17" w:rsidRPr="00653C76">
        <w:rPr>
          <w:rFonts w:asciiTheme="minorHAnsi" w:hAnsiTheme="minorHAnsi"/>
          <w:color w:val="auto"/>
          <w:sz w:val="24"/>
        </w:rPr>
        <w:t xml:space="preserve"> based</w:t>
      </w:r>
      <w:r w:rsidRPr="00653C76">
        <w:rPr>
          <w:rFonts w:asciiTheme="minorHAnsi" w:hAnsiTheme="minorHAnsi"/>
          <w:color w:val="auto"/>
          <w:sz w:val="24"/>
        </w:rPr>
        <w:t xml:space="preserve"> upon fundamental principles of openness, integrity, honesty, and trust.  We will provide a copy of our Code of Ethics to any client or prospective client upon request.</w:t>
      </w:r>
      <w:bookmarkEnd w:id="13"/>
      <w:r w:rsidRPr="00653C76">
        <w:rPr>
          <w:rFonts w:asciiTheme="minorHAnsi" w:hAnsiTheme="minorHAnsi"/>
          <w:color w:val="auto"/>
          <w:sz w:val="24"/>
        </w:rPr>
        <w:t xml:space="preserve">  </w:t>
      </w:r>
    </w:p>
    <w:p w14:paraId="5C9AF612" w14:textId="1B6D0F27" w:rsidR="00741849" w:rsidRPr="004A327E" w:rsidRDefault="007037F9" w:rsidP="005B7414">
      <w:pPr>
        <w:autoSpaceDE w:val="0"/>
        <w:autoSpaceDN w:val="0"/>
        <w:adjustRightInd w:val="0"/>
        <w:spacing w:after="120"/>
        <w:jc w:val="both"/>
        <w:rPr>
          <w:rFonts w:asciiTheme="minorHAnsi" w:hAnsiTheme="minorHAnsi"/>
          <w:sz w:val="24"/>
        </w:rPr>
      </w:pPr>
      <w:r w:rsidRPr="00653C76">
        <w:rPr>
          <w:rFonts w:asciiTheme="minorHAnsi" w:hAnsiTheme="minorHAnsi"/>
          <w:sz w:val="24"/>
        </w:rPr>
        <w:t>Our</w:t>
      </w:r>
      <w:r w:rsidR="00DC6CF0" w:rsidRPr="00653C76">
        <w:rPr>
          <w:rFonts w:asciiTheme="minorHAnsi" w:hAnsiTheme="minorHAnsi"/>
          <w:sz w:val="24"/>
        </w:rPr>
        <w:t xml:space="preserve"> </w:t>
      </w:r>
      <w:r w:rsidRPr="00653C76">
        <w:rPr>
          <w:rFonts w:asciiTheme="minorHAnsi" w:hAnsiTheme="minorHAnsi"/>
          <w:sz w:val="24"/>
        </w:rPr>
        <w:t xml:space="preserve">Code of Ethics covers all supervised </w:t>
      </w:r>
      <w:r w:rsidR="00EA32FA" w:rsidRPr="00653C76">
        <w:rPr>
          <w:rFonts w:asciiTheme="minorHAnsi" w:hAnsiTheme="minorHAnsi"/>
          <w:sz w:val="24"/>
        </w:rPr>
        <w:t>persons,</w:t>
      </w:r>
      <w:r w:rsidRPr="00653C76">
        <w:rPr>
          <w:rFonts w:asciiTheme="minorHAnsi" w:hAnsiTheme="minorHAnsi"/>
          <w:sz w:val="24"/>
        </w:rPr>
        <w:t xml:space="preserve"> and it describes our high standard of business conduct and fiduciary duty to our clients. The Code of Ethics includes</w:t>
      </w:r>
      <w:r w:rsidR="00521D17" w:rsidRPr="00653C76">
        <w:rPr>
          <w:rFonts w:asciiTheme="minorHAnsi" w:hAnsiTheme="minorHAnsi"/>
          <w:sz w:val="24"/>
        </w:rPr>
        <w:t>, among other things,</w:t>
      </w:r>
      <w:r w:rsidRPr="00653C76">
        <w:rPr>
          <w:rFonts w:asciiTheme="minorHAnsi" w:hAnsiTheme="minorHAnsi"/>
          <w:sz w:val="24"/>
        </w:rPr>
        <w:t xml:space="preserve"> provisions relating to the confidentiality of client information, a prohibition on insider trading, a prohibition </w:t>
      </w:r>
      <w:r w:rsidR="00521D17" w:rsidRPr="00653C76">
        <w:rPr>
          <w:rFonts w:asciiTheme="minorHAnsi" w:hAnsiTheme="minorHAnsi"/>
          <w:sz w:val="24"/>
        </w:rPr>
        <w:t xml:space="preserve">on </w:t>
      </w:r>
      <w:r w:rsidRPr="00653C76">
        <w:rPr>
          <w:rFonts w:asciiTheme="minorHAnsi" w:hAnsiTheme="minorHAnsi"/>
          <w:sz w:val="24"/>
        </w:rPr>
        <w:t>rumor mongering, restrictions on the acceptance of significant gifts and the reporting of certain gifts and business entertainment items, and personal securities trading procedures.  All supervised persons must acknowledge the terms of the Code of Ethics annually or as amended.</w:t>
      </w:r>
    </w:p>
    <w:p w14:paraId="3FDF09B3" w14:textId="77777777" w:rsidR="00A10217" w:rsidRPr="00653C76" w:rsidRDefault="00A10217" w:rsidP="005B7414">
      <w:pPr>
        <w:spacing w:after="120"/>
        <w:jc w:val="both"/>
        <w:rPr>
          <w:rFonts w:asciiTheme="minorHAnsi" w:hAnsiTheme="minorHAnsi"/>
          <w:smallCaps/>
          <w:sz w:val="24"/>
          <w:szCs w:val="24"/>
          <w:u w:val="single"/>
        </w:rPr>
      </w:pPr>
      <w:r w:rsidRPr="00653C76">
        <w:rPr>
          <w:rFonts w:asciiTheme="minorHAnsi" w:hAnsiTheme="minorHAnsi"/>
          <w:smallCaps/>
          <w:sz w:val="24"/>
          <w:szCs w:val="24"/>
          <w:u w:val="single"/>
        </w:rPr>
        <w:t xml:space="preserve">Material Interest in Securities </w:t>
      </w:r>
    </w:p>
    <w:p w14:paraId="6A83E6DA" w14:textId="77777777" w:rsidR="005067B5" w:rsidRDefault="00C73C69" w:rsidP="005B7414">
      <w:pPr>
        <w:spacing w:after="120"/>
        <w:jc w:val="both"/>
        <w:rPr>
          <w:rFonts w:asciiTheme="minorHAnsi" w:hAnsiTheme="minorHAnsi"/>
          <w:sz w:val="24"/>
          <w:szCs w:val="24"/>
        </w:rPr>
      </w:pPr>
      <w:r w:rsidRPr="00E7150D">
        <w:rPr>
          <w:rFonts w:asciiTheme="minorHAnsi" w:hAnsiTheme="minorHAnsi"/>
          <w:sz w:val="24"/>
          <w:szCs w:val="24"/>
        </w:rPr>
        <w:t>We</w:t>
      </w:r>
      <w:r w:rsidR="00DC6CF0" w:rsidRPr="00E7150D">
        <w:rPr>
          <w:rFonts w:asciiTheme="minorHAnsi" w:hAnsiTheme="minorHAnsi"/>
          <w:sz w:val="24"/>
          <w:szCs w:val="24"/>
        </w:rPr>
        <w:t xml:space="preserve"> </w:t>
      </w:r>
      <w:r w:rsidR="00A10217" w:rsidRPr="00E7150D">
        <w:rPr>
          <w:rFonts w:asciiTheme="minorHAnsi" w:hAnsiTheme="minorHAnsi"/>
          <w:sz w:val="24"/>
          <w:szCs w:val="24"/>
        </w:rPr>
        <w:t>do</w:t>
      </w:r>
      <w:r w:rsidR="00DC6CF0" w:rsidRPr="00E7150D">
        <w:rPr>
          <w:rFonts w:asciiTheme="minorHAnsi" w:hAnsiTheme="minorHAnsi"/>
          <w:sz w:val="24"/>
          <w:szCs w:val="24"/>
        </w:rPr>
        <w:t xml:space="preserve"> </w:t>
      </w:r>
      <w:r w:rsidR="00A10217" w:rsidRPr="00E7150D">
        <w:rPr>
          <w:rFonts w:asciiTheme="minorHAnsi" w:hAnsiTheme="minorHAnsi"/>
          <w:sz w:val="24"/>
          <w:szCs w:val="24"/>
          <w:u w:val="single"/>
        </w:rPr>
        <w:t>not</w:t>
      </w:r>
      <w:r w:rsidR="00A10217" w:rsidRPr="00E7150D">
        <w:rPr>
          <w:rFonts w:asciiTheme="minorHAnsi" w:hAnsiTheme="minorHAnsi"/>
          <w:sz w:val="24"/>
          <w:szCs w:val="24"/>
        </w:rPr>
        <w:t xml:space="preserve"> have a material interest in any securities.  </w:t>
      </w:r>
    </w:p>
    <w:p w14:paraId="613C1654" w14:textId="77777777" w:rsidR="00A10217" w:rsidRPr="00653C76" w:rsidRDefault="00A10217">
      <w:pPr>
        <w:spacing w:after="120"/>
        <w:jc w:val="both"/>
        <w:rPr>
          <w:rFonts w:asciiTheme="minorHAnsi" w:hAnsiTheme="minorHAnsi"/>
          <w:smallCaps/>
          <w:sz w:val="24"/>
          <w:szCs w:val="24"/>
          <w:u w:val="single"/>
        </w:rPr>
      </w:pPr>
      <w:r w:rsidRPr="00E7150D">
        <w:rPr>
          <w:rFonts w:asciiTheme="minorHAnsi" w:hAnsiTheme="minorHAnsi"/>
          <w:smallCaps/>
          <w:sz w:val="24"/>
          <w:szCs w:val="24"/>
          <w:u w:val="single"/>
        </w:rPr>
        <w:t xml:space="preserve">Investing </w:t>
      </w:r>
      <w:r w:rsidR="000C5B91" w:rsidRPr="00E7150D">
        <w:rPr>
          <w:rFonts w:asciiTheme="minorHAnsi" w:hAnsiTheme="minorHAnsi"/>
          <w:smallCaps/>
          <w:sz w:val="24"/>
          <w:szCs w:val="24"/>
          <w:u w:val="single"/>
        </w:rPr>
        <w:t>in</w:t>
      </w:r>
      <w:r w:rsidRPr="00E7150D">
        <w:rPr>
          <w:rFonts w:asciiTheme="minorHAnsi" w:hAnsiTheme="minorHAnsi"/>
          <w:smallCaps/>
          <w:sz w:val="24"/>
          <w:szCs w:val="24"/>
          <w:u w:val="single"/>
        </w:rPr>
        <w:t xml:space="preserve"> or Recommending the same Securities</w:t>
      </w:r>
      <w:r w:rsidRPr="00653C76">
        <w:rPr>
          <w:rFonts w:asciiTheme="minorHAnsi" w:hAnsiTheme="minorHAnsi"/>
          <w:smallCaps/>
          <w:sz w:val="24"/>
          <w:szCs w:val="24"/>
          <w:u w:val="single"/>
        </w:rPr>
        <w:t xml:space="preserve"> </w:t>
      </w:r>
    </w:p>
    <w:p w14:paraId="1F2974A9" w14:textId="7ECDD96B" w:rsidR="00953757" w:rsidRPr="00D804F8" w:rsidRDefault="00953757" w:rsidP="00D804F8">
      <w:pPr>
        <w:jc w:val="both"/>
        <w:rPr>
          <w:sz w:val="24"/>
          <w:szCs w:val="24"/>
        </w:rPr>
      </w:pPr>
      <w:r w:rsidRPr="00D804F8">
        <w:rPr>
          <w:sz w:val="24"/>
          <w:szCs w:val="24"/>
        </w:rPr>
        <w:t xml:space="preserve">We may buy or sell for his own account the same securities that we purchase or recommend for purchase your accounts. A conflict of interest exists because we can trade ahead of your trades. We mitigate any conflict of interest in two ways. First, our Code of Ethics requires employees </w:t>
      </w:r>
      <w:proofErr w:type="gramStart"/>
      <w:r w:rsidRPr="00D804F8">
        <w:rPr>
          <w:sz w:val="24"/>
          <w:szCs w:val="24"/>
        </w:rPr>
        <w:t>to:</w:t>
      </w:r>
      <w:proofErr w:type="gramEnd"/>
      <w:r w:rsidRPr="00D804F8">
        <w:rPr>
          <w:sz w:val="24"/>
          <w:szCs w:val="24"/>
        </w:rPr>
        <w:t xml:space="preserve"> report personal securities transactions on at least a quarterly </w:t>
      </w:r>
      <w:r w:rsidR="001C3625" w:rsidRPr="00D804F8">
        <w:rPr>
          <w:sz w:val="24"/>
          <w:szCs w:val="24"/>
        </w:rPr>
        <w:t>basis and</w:t>
      </w:r>
      <w:r w:rsidRPr="00D804F8">
        <w:rPr>
          <w:sz w:val="24"/>
          <w:szCs w:val="24"/>
        </w:rPr>
        <w:t xml:space="preserve"> provide us with a detailed summary of certain holdings (both initially upon commencement of employment and quarterly thereafter) in which employees have a direct or indirect beneficial interest. The reports are reviewed to ensure we </w:t>
      </w:r>
      <w:r w:rsidR="001C3625" w:rsidRPr="00D804F8">
        <w:rPr>
          <w:sz w:val="24"/>
          <w:szCs w:val="24"/>
        </w:rPr>
        <w:t>do not</w:t>
      </w:r>
      <w:r w:rsidRPr="00D804F8">
        <w:rPr>
          <w:sz w:val="24"/>
          <w:szCs w:val="24"/>
        </w:rPr>
        <w:t xml:space="preserve"> trade ahead of your accounts. Second, we require your transactions be placed ahead of our associates’ personal trades</w:t>
      </w:r>
      <w:r w:rsidR="00D804F8">
        <w:rPr>
          <w:sz w:val="24"/>
          <w:szCs w:val="24"/>
        </w:rPr>
        <w:t>,</w:t>
      </w:r>
      <w:r w:rsidRPr="00D804F8">
        <w:rPr>
          <w:sz w:val="24"/>
          <w:szCs w:val="24"/>
        </w:rPr>
        <w:t xml:space="preserve"> or our associates can place personal trades as part of a block trade (Please see Item 12.B for details on our block trading practices). The records of all associates’ personal and client trading activities are reviewed and made available to regulators to review on the premises. </w:t>
      </w:r>
    </w:p>
    <w:p w14:paraId="3DAD60AE" w14:textId="77777777" w:rsidR="00953757" w:rsidRDefault="00953757" w:rsidP="00D804F8"/>
    <w:p w14:paraId="5CDE5721" w14:textId="146D3C42" w:rsidR="00985812" w:rsidRPr="00191618" w:rsidRDefault="00527AC3" w:rsidP="00D15F5E">
      <w:pPr>
        <w:pStyle w:val="Heading1"/>
        <w:spacing w:before="0"/>
        <w:rPr>
          <w:rFonts w:asciiTheme="majorHAnsi" w:hAnsiTheme="majorHAnsi" w:cstheme="majorHAnsi"/>
        </w:rPr>
      </w:pPr>
      <w:bookmarkStart w:id="14" w:name="_Toc193370249"/>
      <w:r w:rsidRPr="00191618">
        <w:rPr>
          <w:rFonts w:asciiTheme="majorHAnsi" w:hAnsiTheme="majorHAnsi" w:cstheme="majorHAnsi"/>
        </w:rPr>
        <w:t>Item 12 – Brokerage Practices</w:t>
      </w:r>
      <w:bookmarkEnd w:id="14"/>
    </w:p>
    <w:p w14:paraId="58C16BB2" w14:textId="77777777" w:rsidR="00A05C52" w:rsidRDefault="00857723" w:rsidP="00A05C52">
      <w:pPr>
        <w:spacing w:before="120" w:after="120"/>
        <w:jc w:val="both"/>
        <w:rPr>
          <w:rFonts w:asciiTheme="minorHAnsi" w:hAnsiTheme="minorHAnsi" w:cstheme="minorHAnsi"/>
          <w:smallCaps/>
          <w:sz w:val="24"/>
          <w:szCs w:val="24"/>
          <w:u w:val="single"/>
        </w:rPr>
      </w:pPr>
      <w:r>
        <w:rPr>
          <w:rFonts w:asciiTheme="minorHAnsi" w:hAnsiTheme="minorHAnsi" w:cstheme="minorHAnsi"/>
          <w:smallCaps/>
          <w:sz w:val="24"/>
          <w:szCs w:val="24"/>
          <w:u w:val="single"/>
        </w:rPr>
        <w:t>Recommendation Criteria</w:t>
      </w:r>
    </w:p>
    <w:p w14:paraId="2AA5B039" w14:textId="6FCA6B04" w:rsidR="008B4CF3" w:rsidRPr="00A05C52" w:rsidRDefault="009C6D81" w:rsidP="00A05C52">
      <w:pPr>
        <w:autoSpaceDE w:val="0"/>
        <w:autoSpaceDN w:val="0"/>
        <w:adjustRightInd w:val="0"/>
        <w:spacing w:after="120" w:line="240" w:lineRule="atLeast"/>
        <w:jc w:val="both"/>
        <w:rPr>
          <w:rFonts w:cs="Calibri"/>
          <w:sz w:val="24"/>
          <w:szCs w:val="24"/>
        </w:rPr>
      </w:pPr>
      <w:r>
        <w:rPr>
          <w:rFonts w:cs="Calibri"/>
          <w:sz w:val="24"/>
          <w:szCs w:val="24"/>
        </w:rPr>
        <w:t xml:space="preserve">Some of the primary consideration in determining reasonableness of commission are: rate charged by other brokers that provide clearing or custody services for registered investment adviser; reputation and financial strength; breadth and depth of available products; with an important factor being the broker’s no-transaction-fee mutual fund universe; accuracy with which transactions are processed; customer service responsiveness; availability of technology solutions interoperable with our systems and suitable for managing multiple accounts; as well as client satisfaction.  We periodically evaluate the foregoing factors, and while we may conclude based on our review that commission rates paid by </w:t>
      </w:r>
      <w:r w:rsidR="00EA32FA">
        <w:rPr>
          <w:rFonts w:cs="Calibri"/>
          <w:sz w:val="24"/>
          <w:szCs w:val="24"/>
        </w:rPr>
        <w:t>you</w:t>
      </w:r>
      <w:r>
        <w:rPr>
          <w:rFonts w:cs="Calibri"/>
          <w:sz w:val="24"/>
          <w:szCs w:val="24"/>
        </w:rPr>
        <w:t xml:space="preserve"> are reasonable, lower commissions may be available </w:t>
      </w:r>
      <w:r w:rsidR="00EA32FA">
        <w:rPr>
          <w:rFonts w:cs="Calibri"/>
          <w:sz w:val="24"/>
          <w:szCs w:val="24"/>
        </w:rPr>
        <w:t>from</w:t>
      </w:r>
      <w:r>
        <w:rPr>
          <w:rFonts w:cs="Calibri"/>
          <w:sz w:val="24"/>
          <w:szCs w:val="24"/>
        </w:rPr>
        <w:t xml:space="preserve"> other brokers or in conjunction with retail (non-advisory) accounts, and certain </w:t>
      </w:r>
      <w:r>
        <w:rPr>
          <w:rFonts w:cs="Calibri"/>
          <w:sz w:val="24"/>
          <w:szCs w:val="24"/>
        </w:rPr>
        <w:lastRenderedPageBreak/>
        <w:t xml:space="preserve">mutual funds that carry a transaction fee may be available on a no-transaction-fee basis from other brokers or directly from the fund company.  </w:t>
      </w:r>
    </w:p>
    <w:p w14:paraId="31663AEC" w14:textId="77777777" w:rsidR="00857723" w:rsidRDefault="00857723" w:rsidP="00A05C52">
      <w:pPr>
        <w:spacing w:before="120" w:after="120"/>
        <w:jc w:val="both"/>
        <w:rPr>
          <w:rFonts w:asciiTheme="minorHAnsi" w:hAnsiTheme="minorHAnsi" w:cstheme="minorHAnsi"/>
          <w:sz w:val="24"/>
          <w:szCs w:val="24"/>
        </w:rPr>
      </w:pPr>
      <w:r>
        <w:rPr>
          <w:rFonts w:asciiTheme="minorHAnsi" w:hAnsiTheme="minorHAnsi" w:cstheme="minorHAnsi"/>
          <w:smallCaps/>
          <w:sz w:val="24"/>
          <w:szCs w:val="24"/>
          <w:u w:val="single"/>
        </w:rPr>
        <w:t>Research and Soft Dollars</w:t>
      </w:r>
    </w:p>
    <w:p w14:paraId="39EF3CC3" w14:textId="77777777" w:rsidR="00857723" w:rsidRDefault="00857723" w:rsidP="00E6623D">
      <w:pPr>
        <w:spacing w:after="120"/>
        <w:jc w:val="both"/>
        <w:rPr>
          <w:rFonts w:asciiTheme="minorHAnsi" w:hAnsiTheme="minorHAnsi" w:cstheme="minorHAnsi"/>
          <w:sz w:val="24"/>
          <w:szCs w:val="24"/>
        </w:rPr>
      </w:pPr>
      <w:r>
        <w:rPr>
          <w:rFonts w:asciiTheme="minorHAnsi" w:hAnsiTheme="minorHAnsi" w:cstheme="minorHAnsi"/>
          <w:sz w:val="24"/>
          <w:szCs w:val="24"/>
        </w:rPr>
        <w:t xml:space="preserve">“Soft dollars” are defined as a form of payment investment firms can use to pay for goods and services such as news subscriptions or research.  When an investment firm gives its business to a particular brokerage firm, the brokerage firm in return can agree to use some of its revenue to pay for these types of services.  We do not receive any soft dollars.  </w:t>
      </w:r>
    </w:p>
    <w:p w14:paraId="29FAD431" w14:textId="77777777" w:rsidR="00857723" w:rsidRDefault="00191618" w:rsidP="00A05C52">
      <w:pPr>
        <w:spacing w:before="120" w:after="120"/>
        <w:jc w:val="both"/>
        <w:rPr>
          <w:rFonts w:asciiTheme="minorHAnsi" w:hAnsiTheme="minorHAnsi" w:cstheme="minorHAnsi"/>
          <w:smallCaps/>
          <w:sz w:val="24"/>
          <w:szCs w:val="24"/>
          <w:u w:val="single"/>
        </w:rPr>
      </w:pPr>
      <w:r>
        <w:rPr>
          <w:rFonts w:asciiTheme="minorHAnsi" w:hAnsiTheme="minorHAnsi" w:cstheme="minorHAnsi"/>
          <w:smallCaps/>
          <w:sz w:val="24"/>
          <w:szCs w:val="24"/>
          <w:u w:val="single"/>
        </w:rPr>
        <w:t>Brokerage for Clie</w:t>
      </w:r>
      <w:r w:rsidR="00857723">
        <w:rPr>
          <w:rFonts w:asciiTheme="minorHAnsi" w:hAnsiTheme="minorHAnsi" w:cstheme="minorHAnsi"/>
          <w:smallCaps/>
          <w:sz w:val="24"/>
          <w:szCs w:val="24"/>
          <w:u w:val="single"/>
        </w:rPr>
        <w:t>nt Referrals</w:t>
      </w:r>
    </w:p>
    <w:p w14:paraId="16AB1CFE" w14:textId="77777777" w:rsidR="00857723" w:rsidRPr="00A05C52" w:rsidRDefault="00A05C52" w:rsidP="00E6623D">
      <w:pPr>
        <w:spacing w:after="120"/>
        <w:jc w:val="both"/>
        <w:rPr>
          <w:rFonts w:asciiTheme="minorHAnsi" w:hAnsiTheme="minorHAnsi" w:cstheme="minorHAnsi"/>
          <w:sz w:val="24"/>
          <w:szCs w:val="24"/>
        </w:rPr>
      </w:pPr>
      <w:r>
        <w:rPr>
          <w:rFonts w:asciiTheme="minorHAnsi" w:hAnsiTheme="minorHAnsi" w:cstheme="minorHAnsi"/>
          <w:sz w:val="24"/>
          <w:szCs w:val="24"/>
        </w:rPr>
        <w:t xml:space="preserve">We do not receive client referrals or any other incentive from any broker-dealer or custodian. </w:t>
      </w:r>
    </w:p>
    <w:p w14:paraId="3D83F0CC" w14:textId="77777777" w:rsidR="00857723" w:rsidRPr="00857723" w:rsidRDefault="00857723" w:rsidP="00A05C52">
      <w:pPr>
        <w:spacing w:before="120" w:after="120"/>
        <w:jc w:val="both"/>
        <w:rPr>
          <w:rFonts w:asciiTheme="minorHAnsi" w:hAnsiTheme="minorHAnsi" w:cstheme="minorHAnsi"/>
          <w:smallCaps/>
          <w:sz w:val="24"/>
          <w:szCs w:val="24"/>
          <w:u w:val="single"/>
        </w:rPr>
      </w:pPr>
      <w:r>
        <w:rPr>
          <w:rFonts w:asciiTheme="minorHAnsi" w:hAnsiTheme="minorHAnsi" w:cstheme="minorHAnsi"/>
          <w:smallCaps/>
          <w:sz w:val="24"/>
          <w:szCs w:val="24"/>
          <w:u w:val="single"/>
        </w:rPr>
        <w:t>Trade Aggregation</w:t>
      </w:r>
    </w:p>
    <w:p w14:paraId="0A86F1A8" w14:textId="04061BB8" w:rsidR="00953757" w:rsidRPr="00D804F8" w:rsidRDefault="00953757" w:rsidP="00D804F8">
      <w:pPr>
        <w:jc w:val="both"/>
        <w:rPr>
          <w:sz w:val="24"/>
          <w:szCs w:val="24"/>
        </w:rPr>
      </w:pPr>
      <w:r w:rsidRPr="00D804F8">
        <w:rPr>
          <w:sz w:val="24"/>
          <w:szCs w:val="24"/>
        </w:rPr>
        <w:t xml:space="preserve">We may aggregate transactions in equity and fixed income securities for a client with other clients to improve the quality of execution. When transactions </w:t>
      </w:r>
      <w:proofErr w:type="gramStart"/>
      <w:r w:rsidRPr="00D804F8">
        <w:rPr>
          <w:sz w:val="24"/>
          <w:szCs w:val="24"/>
        </w:rPr>
        <w:t>are so</w:t>
      </w:r>
      <w:proofErr w:type="gramEnd"/>
      <w:r w:rsidRPr="00D804F8">
        <w:rPr>
          <w:sz w:val="24"/>
          <w:szCs w:val="24"/>
        </w:rPr>
        <w:t xml:space="preserve"> aggregated, the actual prices applicable to the aggregated transactions will be averaged, and each client </w:t>
      </w:r>
      <w:proofErr w:type="gramStart"/>
      <w:r w:rsidRPr="00D804F8">
        <w:rPr>
          <w:sz w:val="24"/>
          <w:szCs w:val="24"/>
        </w:rPr>
        <w:t>account</w:t>
      </w:r>
      <w:proofErr w:type="gramEnd"/>
      <w:r w:rsidRPr="00D804F8">
        <w:rPr>
          <w:sz w:val="24"/>
          <w:szCs w:val="24"/>
        </w:rPr>
        <w:t xml:space="preserve"> will be deemed to have purchased or sold its proportionate share of the securities involved at the average price obtained. We may determine not to aggregate transactions, for example, based on the size of the trades, the number of accounts, the timing of the trades, the liquidity of the securities or the discretionary or non-discretionary nature of the trades. If we do not aggregate orders, some clients purchasing securities around the same time may receive a less favorable price than other clients. This means that the practice of not aggregating may cost clients more money. </w:t>
      </w:r>
    </w:p>
    <w:p w14:paraId="4905F147" w14:textId="77777777" w:rsidR="00953757" w:rsidRDefault="00953757" w:rsidP="00D804F8"/>
    <w:p w14:paraId="32865518" w14:textId="75F166E9" w:rsidR="00527AC3" w:rsidRPr="00191618" w:rsidRDefault="00191618" w:rsidP="00D15F5E">
      <w:pPr>
        <w:pStyle w:val="Heading1"/>
        <w:spacing w:before="0"/>
        <w:rPr>
          <w:rFonts w:asciiTheme="majorHAnsi" w:hAnsiTheme="majorHAnsi" w:cstheme="majorHAnsi"/>
        </w:rPr>
      </w:pPr>
      <w:bookmarkStart w:id="15" w:name="_Toc193370250"/>
      <w:r w:rsidRPr="00E6623D">
        <w:rPr>
          <w:rFonts w:asciiTheme="majorHAnsi" w:hAnsiTheme="majorHAnsi" w:cstheme="majorHAnsi"/>
        </w:rPr>
        <w:t>I</w:t>
      </w:r>
      <w:r w:rsidR="00527AC3" w:rsidRPr="00E6623D">
        <w:rPr>
          <w:rFonts w:asciiTheme="majorHAnsi" w:hAnsiTheme="majorHAnsi" w:cstheme="majorHAnsi"/>
        </w:rPr>
        <w:t>tem 13 – Review of Accounts</w:t>
      </w:r>
      <w:bookmarkEnd w:id="15"/>
    </w:p>
    <w:p w14:paraId="667B4D30" w14:textId="77777777" w:rsidR="00A10217" w:rsidRPr="00653C76" w:rsidRDefault="00A10217" w:rsidP="00D15F5E">
      <w:pPr>
        <w:spacing w:before="120" w:after="120"/>
        <w:jc w:val="both"/>
        <w:rPr>
          <w:rFonts w:asciiTheme="minorHAnsi" w:hAnsiTheme="minorHAnsi"/>
          <w:smallCaps/>
          <w:sz w:val="24"/>
          <w:szCs w:val="24"/>
          <w:u w:val="single"/>
        </w:rPr>
      </w:pPr>
      <w:r w:rsidRPr="00653C76">
        <w:rPr>
          <w:rFonts w:asciiTheme="minorHAnsi" w:hAnsiTheme="minorHAnsi"/>
          <w:smallCaps/>
          <w:sz w:val="24"/>
          <w:szCs w:val="24"/>
          <w:u w:val="single"/>
        </w:rPr>
        <w:t>Periodic Reviews</w:t>
      </w:r>
    </w:p>
    <w:p w14:paraId="77C73C31" w14:textId="6A263267" w:rsidR="00F30F5A" w:rsidRPr="001C2538" w:rsidRDefault="00172B63" w:rsidP="00D15F5E">
      <w:pPr>
        <w:pStyle w:val="Header"/>
        <w:tabs>
          <w:tab w:val="clear" w:pos="4320"/>
          <w:tab w:val="clear" w:pos="8640"/>
          <w:tab w:val="left" w:pos="2410"/>
        </w:tabs>
        <w:spacing w:after="120"/>
        <w:jc w:val="both"/>
        <w:rPr>
          <w:rFonts w:asciiTheme="minorHAnsi" w:hAnsiTheme="minorHAnsi" w:cstheme="minorHAnsi"/>
          <w:color w:val="FF0000"/>
          <w:sz w:val="24"/>
          <w:szCs w:val="24"/>
        </w:rPr>
      </w:pPr>
      <w:r>
        <w:rPr>
          <w:rFonts w:asciiTheme="minorHAnsi" w:hAnsiTheme="minorHAnsi" w:cstheme="minorHAnsi"/>
          <w:sz w:val="24"/>
          <w:szCs w:val="24"/>
        </w:rPr>
        <w:t xml:space="preserve">We attempt to meet with you either in person or by telephone annually.  </w:t>
      </w:r>
      <w:r w:rsidR="001328A9">
        <w:rPr>
          <w:rFonts w:asciiTheme="minorHAnsi" w:hAnsiTheme="minorHAnsi" w:cstheme="minorHAnsi"/>
          <w:sz w:val="24"/>
          <w:szCs w:val="24"/>
        </w:rPr>
        <w:t xml:space="preserve">However, depending on your financial needs, we may meet with you more </w:t>
      </w:r>
      <w:r w:rsidR="00E858DA">
        <w:rPr>
          <w:rFonts w:asciiTheme="minorHAnsi" w:hAnsiTheme="minorHAnsi" w:cstheme="minorHAnsi"/>
          <w:sz w:val="24"/>
          <w:szCs w:val="24"/>
        </w:rPr>
        <w:t xml:space="preserve">frequently for a review of your financial situation. </w:t>
      </w:r>
      <w:r>
        <w:rPr>
          <w:rFonts w:asciiTheme="minorHAnsi" w:hAnsiTheme="minorHAnsi" w:cstheme="minorHAnsi"/>
          <w:sz w:val="24"/>
          <w:szCs w:val="24"/>
        </w:rPr>
        <w:t xml:space="preserve">   </w:t>
      </w:r>
    </w:p>
    <w:p w14:paraId="5EA99271" w14:textId="77777777" w:rsidR="00B43ADE" w:rsidRDefault="00B43ADE" w:rsidP="00D15F5E">
      <w:pPr>
        <w:spacing w:after="120"/>
        <w:jc w:val="both"/>
        <w:rPr>
          <w:rFonts w:asciiTheme="minorHAnsi" w:hAnsiTheme="minorHAnsi"/>
          <w:smallCaps/>
          <w:sz w:val="24"/>
          <w:szCs w:val="24"/>
          <w:u w:val="single"/>
        </w:rPr>
      </w:pPr>
      <w:r>
        <w:rPr>
          <w:rFonts w:asciiTheme="minorHAnsi" w:hAnsiTheme="minorHAnsi"/>
          <w:smallCaps/>
          <w:sz w:val="24"/>
          <w:szCs w:val="24"/>
          <w:u w:val="single"/>
        </w:rPr>
        <w:t xml:space="preserve">Other Reviews </w:t>
      </w:r>
    </w:p>
    <w:p w14:paraId="2A63F429" w14:textId="67AE5BEB" w:rsidR="00B43ADE" w:rsidRDefault="00B43ADE" w:rsidP="00D15F5E">
      <w:pPr>
        <w:spacing w:after="120"/>
        <w:jc w:val="both"/>
        <w:rPr>
          <w:rFonts w:asciiTheme="minorHAnsi" w:hAnsiTheme="minorHAnsi"/>
          <w:smallCaps/>
          <w:sz w:val="24"/>
          <w:szCs w:val="24"/>
          <w:u w:val="single"/>
        </w:rPr>
      </w:pPr>
      <w:r w:rsidRPr="00F41AC1">
        <w:rPr>
          <w:sz w:val="24"/>
          <w:szCs w:val="24"/>
        </w:rPr>
        <w:t xml:space="preserve">Additional reviews are conducted periodically depending on market conditions, economic or political events, or by changes in a client’s financial situation (such as retirement, termination of employment, physical </w:t>
      </w:r>
      <w:r w:rsidR="00166EDD" w:rsidRPr="00F41AC1">
        <w:rPr>
          <w:sz w:val="24"/>
          <w:szCs w:val="24"/>
        </w:rPr>
        <w:t>move,</w:t>
      </w:r>
      <w:r w:rsidRPr="00F41AC1">
        <w:rPr>
          <w:sz w:val="24"/>
          <w:szCs w:val="24"/>
        </w:rPr>
        <w:t xml:space="preserve"> or inheritance).  </w:t>
      </w:r>
    </w:p>
    <w:p w14:paraId="579A8D14" w14:textId="77777777" w:rsidR="00A10217" w:rsidRPr="00653C76" w:rsidRDefault="00A10217" w:rsidP="00D15F5E">
      <w:pPr>
        <w:spacing w:after="120"/>
        <w:jc w:val="both"/>
        <w:rPr>
          <w:rFonts w:asciiTheme="minorHAnsi" w:hAnsiTheme="minorHAnsi"/>
          <w:smallCaps/>
          <w:sz w:val="24"/>
          <w:szCs w:val="24"/>
          <w:u w:val="single"/>
        </w:rPr>
      </w:pPr>
      <w:r w:rsidRPr="00653C76">
        <w:rPr>
          <w:rFonts w:asciiTheme="minorHAnsi" w:hAnsiTheme="minorHAnsi"/>
          <w:smallCaps/>
          <w:sz w:val="24"/>
          <w:szCs w:val="24"/>
          <w:u w:val="single"/>
        </w:rPr>
        <w:t>Reports</w:t>
      </w:r>
    </w:p>
    <w:p w14:paraId="4AAF28A3" w14:textId="6C94DA7E" w:rsidR="00EC3A55" w:rsidRDefault="00172B63" w:rsidP="008064B0">
      <w:pPr>
        <w:pStyle w:val="Header"/>
        <w:tabs>
          <w:tab w:val="clear" w:pos="4320"/>
          <w:tab w:val="clear" w:pos="8640"/>
        </w:tabs>
        <w:spacing w:after="240" w:line="300" w:lineRule="atLeast"/>
        <w:jc w:val="both"/>
        <w:rPr>
          <w:rFonts w:asciiTheme="minorHAnsi" w:hAnsiTheme="minorHAnsi" w:cstheme="minorHAnsi"/>
          <w:sz w:val="24"/>
          <w:szCs w:val="24"/>
        </w:rPr>
      </w:pPr>
      <w:r>
        <w:rPr>
          <w:rFonts w:asciiTheme="minorHAnsi" w:hAnsiTheme="minorHAnsi" w:cstheme="minorHAnsi"/>
          <w:sz w:val="24"/>
          <w:szCs w:val="24"/>
        </w:rPr>
        <w:t xml:space="preserve">Quarterly newsletters are provided to all clients.  For our investment management, you will receive at least quarterly account statements from the qualified custodian that holds your assets.  We urge you to carefully review each statement.  </w:t>
      </w:r>
    </w:p>
    <w:p w14:paraId="4EE0433D" w14:textId="77777777" w:rsidR="001B024B" w:rsidRPr="008064B0" w:rsidRDefault="001B024B" w:rsidP="008064B0">
      <w:pPr>
        <w:pStyle w:val="Header"/>
        <w:tabs>
          <w:tab w:val="clear" w:pos="4320"/>
          <w:tab w:val="clear" w:pos="8640"/>
        </w:tabs>
        <w:spacing w:after="240" w:line="300" w:lineRule="atLeast"/>
        <w:jc w:val="both"/>
        <w:rPr>
          <w:rFonts w:asciiTheme="minorHAnsi" w:hAnsiTheme="minorHAnsi" w:cstheme="minorHAnsi"/>
          <w:sz w:val="24"/>
          <w:szCs w:val="24"/>
        </w:rPr>
      </w:pPr>
    </w:p>
    <w:p w14:paraId="61299414" w14:textId="77777777" w:rsidR="00905A21" w:rsidRPr="001977F9" w:rsidRDefault="00905A21" w:rsidP="00D15F5E">
      <w:pPr>
        <w:pStyle w:val="Heading1"/>
        <w:spacing w:before="0"/>
        <w:rPr>
          <w:rFonts w:asciiTheme="majorHAnsi" w:hAnsiTheme="majorHAnsi" w:cstheme="majorHAnsi"/>
        </w:rPr>
      </w:pPr>
      <w:bookmarkStart w:id="16" w:name="_Toc193370251"/>
      <w:r w:rsidRPr="001977F9">
        <w:rPr>
          <w:rFonts w:asciiTheme="majorHAnsi" w:hAnsiTheme="majorHAnsi" w:cstheme="majorHAnsi"/>
        </w:rPr>
        <w:lastRenderedPageBreak/>
        <w:t>Item 14 – Client Referrals and Other Compensation</w:t>
      </w:r>
      <w:bookmarkEnd w:id="16"/>
    </w:p>
    <w:p w14:paraId="1322BEAD" w14:textId="77777777" w:rsidR="00A10217" w:rsidRPr="00653C76" w:rsidRDefault="00A10217" w:rsidP="00D15F5E">
      <w:pPr>
        <w:spacing w:before="120" w:after="120"/>
        <w:jc w:val="both"/>
        <w:rPr>
          <w:rFonts w:asciiTheme="minorHAnsi" w:hAnsiTheme="minorHAnsi"/>
          <w:smallCaps/>
          <w:sz w:val="24"/>
          <w:szCs w:val="24"/>
          <w:u w:val="single"/>
        </w:rPr>
      </w:pPr>
      <w:r w:rsidRPr="00653C76">
        <w:rPr>
          <w:rFonts w:asciiTheme="minorHAnsi" w:hAnsiTheme="minorHAnsi"/>
          <w:smallCaps/>
          <w:sz w:val="24"/>
          <w:szCs w:val="24"/>
          <w:u w:val="single"/>
        </w:rPr>
        <w:t>Other Compensation</w:t>
      </w:r>
    </w:p>
    <w:p w14:paraId="08E0B8E6" w14:textId="4BFF71A1" w:rsidR="00DE64C6" w:rsidRPr="00660F61" w:rsidRDefault="00DE64C6" w:rsidP="00A05C52">
      <w:pPr>
        <w:pStyle w:val="Default"/>
        <w:spacing w:after="120" w:line="300" w:lineRule="atLeast"/>
        <w:jc w:val="both"/>
        <w:rPr>
          <w:rFonts w:asciiTheme="minorHAnsi" w:eastAsiaTheme="minorHAnsi" w:hAnsiTheme="minorHAnsi" w:cstheme="minorHAnsi"/>
        </w:rPr>
      </w:pPr>
      <w:r>
        <w:rPr>
          <w:rFonts w:asciiTheme="minorHAnsi" w:hAnsiTheme="minorHAnsi" w:cstheme="minorHAnsi"/>
        </w:rPr>
        <w:t>As described in Items 4 and 5, we use the services of a sub</w:t>
      </w:r>
      <w:r w:rsidR="001B56E6">
        <w:rPr>
          <w:rFonts w:asciiTheme="minorHAnsi" w:hAnsiTheme="minorHAnsi" w:cstheme="minorHAnsi"/>
        </w:rPr>
        <w:t xml:space="preserve">-adviser, Advisory Alpha, LLC (“Advisory Alpha”) to help manage client accounts. Advisory Alpha receives a portion of our </w:t>
      </w:r>
      <w:r w:rsidR="00997E92">
        <w:rPr>
          <w:rFonts w:asciiTheme="minorHAnsi" w:hAnsiTheme="minorHAnsi" w:cstheme="minorHAnsi"/>
        </w:rPr>
        <w:t xml:space="preserve">investment advisory fees.  We receive some economic benefits in addition to Advisory Alpha’s management services.  </w:t>
      </w:r>
      <w:r w:rsidR="0087400D">
        <w:rPr>
          <w:rFonts w:asciiTheme="minorHAnsi" w:hAnsiTheme="minorHAnsi" w:cstheme="minorHAnsi"/>
        </w:rPr>
        <w:t xml:space="preserve">These benefits include assistance will fee billing, </w:t>
      </w:r>
      <w:r w:rsidR="00B75318">
        <w:rPr>
          <w:rFonts w:asciiTheme="minorHAnsi" w:hAnsiTheme="minorHAnsi" w:cstheme="minorHAnsi"/>
        </w:rPr>
        <w:t xml:space="preserve">investment </w:t>
      </w:r>
      <w:r w:rsidR="0087400D">
        <w:rPr>
          <w:rFonts w:asciiTheme="minorHAnsi" w:hAnsiTheme="minorHAnsi" w:cstheme="minorHAnsi"/>
        </w:rPr>
        <w:t>research</w:t>
      </w:r>
      <w:r w:rsidR="00B75318">
        <w:rPr>
          <w:rFonts w:asciiTheme="minorHAnsi" w:hAnsiTheme="minorHAnsi" w:cstheme="minorHAnsi"/>
        </w:rPr>
        <w:t xml:space="preserve">, </w:t>
      </w:r>
      <w:r w:rsidR="001B024B">
        <w:rPr>
          <w:rFonts w:asciiTheme="minorHAnsi" w:hAnsiTheme="minorHAnsi" w:cstheme="minorHAnsi"/>
        </w:rPr>
        <w:t>books</w:t>
      </w:r>
      <w:r w:rsidR="00B75318">
        <w:rPr>
          <w:rFonts w:asciiTheme="minorHAnsi" w:hAnsiTheme="minorHAnsi" w:cstheme="minorHAnsi"/>
        </w:rPr>
        <w:t xml:space="preserve"> and records maintenance assistance</w:t>
      </w:r>
      <w:r w:rsidR="00B347F7">
        <w:rPr>
          <w:rFonts w:asciiTheme="minorHAnsi" w:hAnsiTheme="minorHAnsi" w:cstheme="minorHAnsi"/>
        </w:rPr>
        <w:t>, marketing, technology</w:t>
      </w:r>
      <w:r w:rsidR="00AC6F7B">
        <w:rPr>
          <w:rFonts w:asciiTheme="minorHAnsi" w:hAnsiTheme="minorHAnsi" w:cstheme="minorHAnsi"/>
        </w:rPr>
        <w:t>,</w:t>
      </w:r>
      <w:r w:rsidR="00B347F7">
        <w:rPr>
          <w:rFonts w:asciiTheme="minorHAnsi" w:hAnsiTheme="minorHAnsi" w:cstheme="minorHAnsi"/>
        </w:rPr>
        <w:t xml:space="preserve"> and practice management assistance. </w:t>
      </w:r>
      <w:r w:rsidR="00AC6F7B" w:rsidRPr="000A0790">
        <w:rPr>
          <w:rFonts w:asciiTheme="minorHAnsi" w:hAnsiTheme="minorHAnsi" w:cstheme="minorHAnsi"/>
        </w:rPr>
        <w:t xml:space="preserve"> </w:t>
      </w:r>
      <w:r w:rsidR="00AC6F7B">
        <w:rPr>
          <w:rFonts w:asciiTheme="minorHAnsi" w:hAnsiTheme="minorHAnsi" w:cstheme="minorHAnsi"/>
        </w:rPr>
        <w:t>You</w:t>
      </w:r>
      <w:r w:rsidR="00AC6F7B" w:rsidRPr="000A0790">
        <w:rPr>
          <w:rFonts w:asciiTheme="minorHAnsi" w:hAnsiTheme="minorHAnsi" w:cstheme="minorHAnsi"/>
        </w:rPr>
        <w:t xml:space="preserve"> should be aware</w:t>
      </w:r>
      <w:r w:rsidR="00AC6F7B">
        <w:rPr>
          <w:rFonts w:asciiTheme="minorHAnsi" w:hAnsiTheme="minorHAnsi" w:cstheme="minorHAnsi"/>
        </w:rPr>
        <w:t xml:space="preserve"> </w:t>
      </w:r>
      <w:r w:rsidR="00AC6F7B" w:rsidRPr="000A0790">
        <w:rPr>
          <w:rFonts w:asciiTheme="minorHAnsi" w:hAnsiTheme="minorHAnsi" w:cstheme="minorHAnsi"/>
        </w:rPr>
        <w:t xml:space="preserve">that the receipt of economic benefits by us creates a </w:t>
      </w:r>
      <w:r w:rsidR="00AC6F7B">
        <w:rPr>
          <w:rFonts w:asciiTheme="minorHAnsi" w:hAnsiTheme="minorHAnsi" w:cstheme="minorHAnsi"/>
        </w:rPr>
        <w:t>co</w:t>
      </w:r>
      <w:r w:rsidR="00AC6F7B" w:rsidRPr="000A0790">
        <w:rPr>
          <w:rFonts w:asciiTheme="minorHAnsi" w:hAnsiTheme="minorHAnsi" w:cstheme="minorHAnsi"/>
        </w:rPr>
        <w:t xml:space="preserve">nflict of interest and may indirectly influence our choice </w:t>
      </w:r>
      <w:r w:rsidR="00AC6F7B">
        <w:rPr>
          <w:rFonts w:asciiTheme="minorHAnsi" w:hAnsiTheme="minorHAnsi" w:cstheme="minorHAnsi"/>
        </w:rPr>
        <w:t xml:space="preserve">to recommend Advisory Alpha’s services. Please be aware that you are never </w:t>
      </w:r>
      <w:r w:rsidR="001B024B">
        <w:rPr>
          <w:rFonts w:asciiTheme="minorHAnsi" w:hAnsiTheme="minorHAnsi" w:cstheme="minorHAnsi"/>
        </w:rPr>
        <w:t>required</w:t>
      </w:r>
      <w:r w:rsidR="00AC6F7B">
        <w:rPr>
          <w:rFonts w:asciiTheme="minorHAnsi" w:hAnsiTheme="minorHAnsi" w:cstheme="minorHAnsi"/>
        </w:rPr>
        <w:t xml:space="preserve"> to use any services we recommend to you. </w:t>
      </w:r>
    </w:p>
    <w:p w14:paraId="235D2518" w14:textId="77777777" w:rsidR="00A10217" w:rsidRPr="00653C76" w:rsidRDefault="00A10217" w:rsidP="00D15F5E">
      <w:pPr>
        <w:spacing w:after="120"/>
        <w:jc w:val="both"/>
        <w:rPr>
          <w:rFonts w:asciiTheme="minorHAnsi" w:hAnsiTheme="minorHAnsi"/>
          <w:smallCaps/>
          <w:sz w:val="24"/>
          <w:szCs w:val="24"/>
          <w:u w:val="single"/>
        </w:rPr>
      </w:pPr>
      <w:r w:rsidRPr="00653C76">
        <w:rPr>
          <w:rFonts w:asciiTheme="minorHAnsi" w:hAnsiTheme="minorHAnsi"/>
          <w:smallCaps/>
          <w:sz w:val="24"/>
          <w:szCs w:val="24"/>
          <w:u w:val="single"/>
        </w:rPr>
        <w:t>Client Referrals</w:t>
      </w:r>
    </w:p>
    <w:p w14:paraId="4764BFF7" w14:textId="77777777" w:rsidR="00564C91" w:rsidRPr="00653C76" w:rsidRDefault="00CB5D1A" w:rsidP="00D15F5E">
      <w:pPr>
        <w:spacing w:after="240"/>
        <w:jc w:val="both"/>
        <w:rPr>
          <w:rFonts w:asciiTheme="minorHAnsi" w:hAnsiTheme="minorHAnsi"/>
          <w:sz w:val="24"/>
          <w:szCs w:val="24"/>
        </w:rPr>
      </w:pPr>
      <w:r w:rsidRPr="00653C76">
        <w:rPr>
          <w:rFonts w:asciiTheme="minorHAnsi" w:hAnsiTheme="minorHAnsi"/>
          <w:sz w:val="24"/>
          <w:szCs w:val="24"/>
        </w:rPr>
        <w:t>We do</w:t>
      </w:r>
      <w:r w:rsidR="00A10217" w:rsidRPr="00653C76">
        <w:rPr>
          <w:rFonts w:asciiTheme="minorHAnsi" w:hAnsiTheme="minorHAnsi"/>
          <w:sz w:val="24"/>
          <w:szCs w:val="24"/>
        </w:rPr>
        <w:t xml:space="preserve"> not pay for client referrals or use solicitors.   </w:t>
      </w:r>
    </w:p>
    <w:p w14:paraId="7F25540C" w14:textId="77777777" w:rsidR="00DD2425" w:rsidRPr="00191618" w:rsidRDefault="00905A21" w:rsidP="00DD2425">
      <w:pPr>
        <w:pStyle w:val="Heading1"/>
        <w:spacing w:before="0" w:after="120"/>
        <w:rPr>
          <w:rFonts w:asciiTheme="majorHAnsi" w:hAnsiTheme="majorHAnsi" w:cstheme="majorHAnsi"/>
        </w:rPr>
      </w:pPr>
      <w:bookmarkStart w:id="17" w:name="_Toc193370252"/>
      <w:r w:rsidRPr="00191618">
        <w:rPr>
          <w:rFonts w:asciiTheme="majorHAnsi" w:hAnsiTheme="majorHAnsi" w:cstheme="majorHAnsi"/>
        </w:rPr>
        <w:t>Item 15 – Custody</w:t>
      </w:r>
      <w:bookmarkEnd w:id="17"/>
    </w:p>
    <w:p w14:paraId="070CFB50" w14:textId="0A00B46F" w:rsidR="00DD2425" w:rsidRDefault="00ED1AC6" w:rsidP="00794A52">
      <w:pPr>
        <w:autoSpaceDE w:val="0"/>
        <w:autoSpaceDN w:val="0"/>
        <w:adjustRightInd w:val="0"/>
        <w:spacing w:after="120"/>
        <w:jc w:val="both"/>
        <w:rPr>
          <w:rFonts w:cs="Calibri"/>
          <w:sz w:val="24"/>
          <w:szCs w:val="24"/>
        </w:rPr>
      </w:pPr>
      <w:r>
        <w:rPr>
          <w:rFonts w:cs="Calibri"/>
          <w:sz w:val="24"/>
          <w:szCs w:val="24"/>
        </w:rPr>
        <w:t>Your funds, securities and accounts are held at a qualified custodian.  We do not take possession of your securities.  However, you will be asked to authorize us wit</w:t>
      </w:r>
      <w:r w:rsidR="00B2332D">
        <w:rPr>
          <w:rFonts w:cs="Calibri"/>
          <w:sz w:val="24"/>
          <w:szCs w:val="24"/>
        </w:rPr>
        <w:t>h</w:t>
      </w:r>
      <w:r>
        <w:rPr>
          <w:rFonts w:cs="Calibri"/>
          <w:sz w:val="24"/>
          <w:szCs w:val="24"/>
        </w:rPr>
        <w:t xml:space="preserve"> the ability to instruct the custodian to deduct our management fee from your account.  This authorization will apply to our management fee </w:t>
      </w:r>
      <w:r w:rsidRPr="00ED1AC6">
        <w:rPr>
          <w:rFonts w:cs="Calibri"/>
          <w:sz w:val="24"/>
          <w:szCs w:val="24"/>
          <w:u w:val="single"/>
        </w:rPr>
        <w:t>only</w:t>
      </w:r>
      <w:r>
        <w:rPr>
          <w:rFonts w:cs="Calibri"/>
          <w:sz w:val="24"/>
          <w:szCs w:val="24"/>
        </w:rPr>
        <w:t xml:space="preserve">.  This is considered a limited form of custody. You may terminate this authorization at any time.  You will also receive at least quarterly account statements from the custodian that holds and maintains the assets in your account.  We urge you to carefully review these account statements. </w:t>
      </w:r>
    </w:p>
    <w:p w14:paraId="48A2D82B" w14:textId="77777777" w:rsidR="00B2332D" w:rsidRPr="00794A52" w:rsidRDefault="00B2332D" w:rsidP="00794A52">
      <w:pPr>
        <w:spacing w:after="120"/>
        <w:jc w:val="both"/>
        <w:rPr>
          <w:rFonts w:asciiTheme="minorHAnsi" w:hAnsiTheme="minorHAnsi" w:cstheme="minorHAnsi"/>
          <w:sz w:val="24"/>
          <w:szCs w:val="24"/>
        </w:rPr>
      </w:pPr>
      <w:r w:rsidRPr="00794A52">
        <w:rPr>
          <w:rFonts w:asciiTheme="minorHAnsi" w:hAnsiTheme="minorHAnsi" w:cstheme="minorHAnsi"/>
          <w:sz w:val="24"/>
          <w:szCs w:val="24"/>
        </w:rPr>
        <w:t xml:space="preserve">At times, we assist some clients with the ability to move money from one account to another. In these situations, you will sign standing letter of instruction (“SLOAs”) with your custodian that grants us the ability to facilitate the transfer. When your money is transferred between accounts with different titles, this is considered a limited from of custody. In 2017, the SEC issued a no‐action letter (“Letter”) with respect to the Rule 206(4)‐2 (“Custody Rule”) under the Investment Advisers Act of 1940 (“Advisers Act”). We and your custodian follow the safeguards outlined in the letter. These safeguards include: </w:t>
      </w:r>
    </w:p>
    <w:p w14:paraId="2A4BBEF7" w14:textId="09407A15" w:rsidR="00B2332D" w:rsidRPr="00794A52" w:rsidRDefault="00B2332D" w:rsidP="00794A52">
      <w:pPr>
        <w:pStyle w:val="ListParagraph"/>
        <w:numPr>
          <w:ilvl w:val="0"/>
          <w:numId w:val="37"/>
        </w:numPr>
        <w:spacing w:after="120"/>
        <w:contextualSpacing w:val="0"/>
        <w:jc w:val="both"/>
        <w:rPr>
          <w:rFonts w:asciiTheme="minorHAnsi" w:hAnsiTheme="minorHAnsi" w:cstheme="minorHAnsi"/>
          <w:sz w:val="24"/>
          <w:szCs w:val="24"/>
        </w:rPr>
      </w:pPr>
      <w:r w:rsidRPr="00794A52">
        <w:rPr>
          <w:rFonts w:asciiTheme="minorHAnsi" w:hAnsiTheme="minorHAnsi" w:cstheme="minorHAnsi"/>
          <w:sz w:val="24"/>
          <w:szCs w:val="24"/>
        </w:rPr>
        <w:t xml:space="preserve">The client provides an instruction to the qualified custodian, in writing, </w:t>
      </w:r>
      <w:r w:rsidR="002259A8" w:rsidRPr="00794A52">
        <w:rPr>
          <w:rFonts w:asciiTheme="minorHAnsi" w:hAnsiTheme="minorHAnsi" w:cstheme="minorHAnsi"/>
          <w:sz w:val="24"/>
          <w:szCs w:val="24"/>
        </w:rPr>
        <w:t>which</w:t>
      </w:r>
      <w:r w:rsidRPr="00794A52">
        <w:rPr>
          <w:rFonts w:asciiTheme="minorHAnsi" w:hAnsiTheme="minorHAnsi" w:cstheme="minorHAnsi"/>
          <w:sz w:val="24"/>
          <w:szCs w:val="24"/>
        </w:rPr>
        <w:t xml:space="preserve"> includes the client’s signature, the third party’s name, and either the third party’s address or the third party’s account number at a custodian to which the transfer should be directed. </w:t>
      </w:r>
    </w:p>
    <w:p w14:paraId="36E9DF4D" w14:textId="77777777" w:rsidR="00B2332D" w:rsidRPr="00794A52" w:rsidRDefault="00B2332D" w:rsidP="00794A52">
      <w:pPr>
        <w:pStyle w:val="ListParagraph"/>
        <w:numPr>
          <w:ilvl w:val="0"/>
          <w:numId w:val="37"/>
        </w:numPr>
        <w:spacing w:after="120"/>
        <w:contextualSpacing w:val="0"/>
        <w:jc w:val="both"/>
        <w:rPr>
          <w:rFonts w:asciiTheme="minorHAnsi" w:hAnsiTheme="minorHAnsi" w:cstheme="minorHAnsi"/>
          <w:sz w:val="24"/>
          <w:szCs w:val="24"/>
        </w:rPr>
      </w:pPr>
      <w:r w:rsidRPr="00794A52">
        <w:rPr>
          <w:rFonts w:asciiTheme="minorHAnsi" w:hAnsiTheme="minorHAnsi" w:cstheme="minorHAnsi"/>
          <w:sz w:val="24"/>
          <w:szCs w:val="24"/>
        </w:rPr>
        <w:t xml:space="preserve">The client authorizes the investment adviser, in writing, either on the qualified custodian’s form or separately, to direct transfers to the third party either on a specified schedule or from time to time. </w:t>
      </w:r>
    </w:p>
    <w:p w14:paraId="45285115" w14:textId="77777777" w:rsidR="00B2332D" w:rsidRPr="00794A52" w:rsidRDefault="00B2332D" w:rsidP="00794A52">
      <w:pPr>
        <w:pStyle w:val="ListParagraph"/>
        <w:numPr>
          <w:ilvl w:val="0"/>
          <w:numId w:val="37"/>
        </w:numPr>
        <w:spacing w:after="120"/>
        <w:contextualSpacing w:val="0"/>
        <w:jc w:val="both"/>
        <w:rPr>
          <w:rFonts w:asciiTheme="minorHAnsi" w:hAnsiTheme="minorHAnsi" w:cstheme="minorHAnsi"/>
          <w:sz w:val="24"/>
          <w:szCs w:val="24"/>
        </w:rPr>
      </w:pPr>
      <w:r w:rsidRPr="00794A52">
        <w:rPr>
          <w:rFonts w:asciiTheme="minorHAnsi" w:hAnsiTheme="minorHAnsi" w:cstheme="minorHAnsi"/>
          <w:sz w:val="24"/>
          <w:szCs w:val="24"/>
        </w:rPr>
        <w:t xml:space="preserve">The client’s qualified custodian performs appropriate verification of the instruction, such as a signature review or other method to verify the client’s authorization and provides a transfer of funds notice to the client promptly after each transfer. </w:t>
      </w:r>
    </w:p>
    <w:p w14:paraId="36BB70BD" w14:textId="77777777" w:rsidR="00B2332D" w:rsidRPr="00794A52" w:rsidRDefault="00B2332D" w:rsidP="00794A52">
      <w:pPr>
        <w:pStyle w:val="ListParagraph"/>
        <w:numPr>
          <w:ilvl w:val="0"/>
          <w:numId w:val="37"/>
        </w:numPr>
        <w:spacing w:after="120"/>
        <w:contextualSpacing w:val="0"/>
        <w:jc w:val="both"/>
        <w:rPr>
          <w:rFonts w:asciiTheme="minorHAnsi" w:hAnsiTheme="minorHAnsi" w:cstheme="minorHAnsi"/>
          <w:sz w:val="24"/>
          <w:szCs w:val="24"/>
        </w:rPr>
      </w:pPr>
      <w:r w:rsidRPr="00794A52">
        <w:rPr>
          <w:rFonts w:asciiTheme="minorHAnsi" w:hAnsiTheme="minorHAnsi" w:cstheme="minorHAnsi"/>
          <w:sz w:val="24"/>
          <w:szCs w:val="24"/>
        </w:rPr>
        <w:t xml:space="preserve">The client can terminate or change the instruction to the client’s qualified custodian. </w:t>
      </w:r>
    </w:p>
    <w:p w14:paraId="4FE0E1E5" w14:textId="77777777" w:rsidR="00B2332D" w:rsidRPr="00794A52" w:rsidRDefault="00B2332D" w:rsidP="00794A52">
      <w:pPr>
        <w:pStyle w:val="ListParagraph"/>
        <w:numPr>
          <w:ilvl w:val="0"/>
          <w:numId w:val="37"/>
        </w:numPr>
        <w:spacing w:after="120"/>
        <w:contextualSpacing w:val="0"/>
        <w:jc w:val="both"/>
        <w:rPr>
          <w:rFonts w:asciiTheme="minorHAnsi" w:hAnsiTheme="minorHAnsi" w:cstheme="minorHAnsi"/>
          <w:sz w:val="24"/>
          <w:szCs w:val="24"/>
        </w:rPr>
      </w:pPr>
      <w:r w:rsidRPr="00794A52">
        <w:rPr>
          <w:rFonts w:asciiTheme="minorHAnsi" w:hAnsiTheme="minorHAnsi" w:cstheme="minorHAnsi"/>
          <w:sz w:val="24"/>
          <w:szCs w:val="24"/>
        </w:rPr>
        <w:lastRenderedPageBreak/>
        <w:t>The investment adviser has no authority or ability to designate or change the identity of the third party, the address, or any other information about the third party contained in the client’s instruction.</w:t>
      </w:r>
    </w:p>
    <w:p w14:paraId="0146E2DD" w14:textId="77777777" w:rsidR="00B2332D" w:rsidRPr="00794A52" w:rsidRDefault="00B2332D" w:rsidP="00794A52">
      <w:pPr>
        <w:pStyle w:val="ListParagraph"/>
        <w:numPr>
          <w:ilvl w:val="0"/>
          <w:numId w:val="37"/>
        </w:numPr>
        <w:spacing w:after="120"/>
        <w:contextualSpacing w:val="0"/>
        <w:jc w:val="both"/>
        <w:rPr>
          <w:rFonts w:asciiTheme="minorHAnsi" w:hAnsiTheme="minorHAnsi" w:cstheme="minorHAnsi"/>
          <w:sz w:val="24"/>
          <w:szCs w:val="24"/>
        </w:rPr>
      </w:pPr>
      <w:r w:rsidRPr="00794A52">
        <w:rPr>
          <w:rFonts w:asciiTheme="minorHAnsi" w:hAnsiTheme="minorHAnsi" w:cstheme="minorHAnsi"/>
          <w:sz w:val="24"/>
          <w:szCs w:val="24"/>
        </w:rPr>
        <w:t xml:space="preserve">The investment adviser maintains records showing that the third party is not a related party of the investment adviser or located at the same address as the investment adviser. </w:t>
      </w:r>
    </w:p>
    <w:p w14:paraId="1779F581" w14:textId="77777777" w:rsidR="00B2332D" w:rsidRPr="00794A52" w:rsidRDefault="00B2332D" w:rsidP="00794A52">
      <w:pPr>
        <w:pStyle w:val="ListParagraph"/>
        <w:numPr>
          <w:ilvl w:val="0"/>
          <w:numId w:val="37"/>
        </w:numPr>
        <w:spacing w:after="120"/>
        <w:contextualSpacing w:val="0"/>
        <w:jc w:val="both"/>
        <w:rPr>
          <w:rFonts w:asciiTheme="minorHAnsi" w:hAnsiTheme="minorHAnsi" w:cstheme="minorHAnsi"/>
        </w:rPr>
      </w:pPr>
      <w:r w:rsidRPr="00794A52">
        <w:rPr>
          <w:rFonts w:asciiTheme="minorHAnsi" w:hAnsiTheme="minorHAnsi" w:cstheme="minorHAnsi"/>
          <w:sz w:val="24"/>
          <w:szCs w:val="24"/>
        </w:rPr>
        <w:t>The client’s qualified custodian sends the client, in writing, an initial notice confirming the instruction and an annual notice reconfirming the instruction.</w:t>
      </w:r>
    </w:p>
    <w:p w14:paraId="1811DE1E" w14:textId="77777777" w:rsidR="00905A21" w:rsidRPr="00191618" w:rsidRDefault="00905A21" w:rsidP="00D962C7">
      <w:pPr>
        <w:pStyle w:val="Heading1"/>
        <w:spacing w:before="0"/>
        <w:rPr>
          <w:rFonts w:asciiTheme="majorHAnsi" w:hAnsiTheme="majorHAnsi" w:cstheme="majorHAnsi"/>
        </w:rPr>
      </w:pPr>
      <w:bookmarkStart w:id="18" w:name="_Toc193370253"/>
      <w:r w:rsidRPr="00191618">
        <w:rPr>
          <w:rFonts w:asciiTheme="majorHAnsi" w:hAnsiTheme="majorHAnsi" w:cstheme="majorHAnsi"/>
        </w:rPr>
        <w:t>Item 16 – Investment Discretion</w:t>
      </w:r>
      <w:bookmarkEnd w:id="18"/>
    </w:p>
    <w:p w14:paraId="0082E544" w14:textId="3CF8A1E4" w:rsidR="00B43ADE" w:rsidRDefault="008064B0" w:rsidP="00D15F5E">
      <w:pPr>
        <w:spacing w:before="120" w:after="240"/>
        <w:jc w:val="both"/>
        <w:rPr>
          <w:rFonts w:asciiTheme="minorHAnsi" w:hAnsiTheme="minorHAnsi" w:cstheme="minorHAnsi"/>
          <w:bCs/>
          <w:sz w:val="24"/>
          <w:szCs w:val="24"/>
        </w:rPr>
      </w:pPr>
      <w:r>
        <w:rPr>
          <w:rFonts w:asciiTheme="minorHAnsi" w:hAnsiTheme="minorHAnsi" w:cstheme="minorHAnsi"/>
          <w:bCs/>
          <w:sz w:val="24"/>
          <w:szCs w:val="24"/>
        </w:rPr>
        <w:t>We offer discretionary</w:t>
      </w:r>
      <w:r w:rsidR="00ED1AC6">
        <w:rPr>
          <w:rFonts w:asciiTheme="minorHAnsi" w:hAnsiTheme="minorHAnsi" w:cstheme="minorHAnsi"/>
          <w:bCs/>
          <w:sz w:val="24"/>
          <w:szCs w:val="24"/>
        </w:rPr>
        <w:t xml:space="preserve"> and non-discretionary</w:t>
      </w:r>
      <w:r>
        <w:rPr>
          <w:rFonts w:asciiTheme="minorHAnsi" w:hAnsiTheme="minorHAnsi" w:cstheme="minorHAnsi"/>
          <w:bCs/>
          <w:sz w:val="24"/>
          <w:szCs w:val="24"/>
        </w:rPr>
        <w:t xml:space="preserve"> investmen</w:t>
      </w:r>
      <w:r w:rsidR="00662727">
        <w:rPr>
          <w:rFonts w:asciiTheme="minorHAnsi" w:hAnsiTheme="minorHAnsi" w:cstheme="minorHAnsi"/>
          <w:bCs/>
          <w:sz w:val="24"/>
          <w:szCs w:val="24"/>
        </w:rPr>
        <w:t xml:space="preserve">t management services. </w:t>
      </w:r>
      <w:r w:rsidR="00166EDD">
        <w:rPr>
          <w:rFonts w:asciiTheme="minorHAnsi" w:hAnsiTheme="minorHAnsi" w:cstheme="minorHAnsi"/>
          <w:bCs/>
          <w:sz w:val="24"/>
          <w:szCs w:val="24"/>
        </w:rPr>
        <w:t>With discretionary investment management services, you</w:t>
      </w:r>
      <w:r w:rsidR="00ED1AC6">
        <w:rPr>
          <w:rFonts w:asciiTheme="minorHAnsi" w:hAnsiTheme="minorHAnsi" w:cstheme="minorHAnsi"/>
          <w:bCs/>
          <w:sz w:val="24"/>
          <w:szCs w:val="24"/>
        </w:rPr>
        <w:t xml:space="preserve"> </w:t>
      </w:r>
      <w:r w:rsidR="00166EDD">
        <w:rPr>
          <w:rFonts w:asciiTheme="minorHAnsi" w:hAnsiTheme="minorHAnsi" w:cstheme="minorHAnsi"/>
          <w:bCs/>
          <w:sz w:val="24"/>
          <w:szCs w:val="24"/>
        </w:rPr>
        <w:t xml:space="preserve">must sign the investment </w:t>
      </w:r>
      <w:r w:rsidR="00ED1AC6">
        <w:rPr>
          <w:rFonts w:asciiTheme="minorHAnsi" w:hAnsiTheme="minorHAnsi" w:cstheme="minorHAnsi"/>
          <w:bCs/>
          <w:sz w:val="24"/>
          <w:szCs w:val="24"/>
        </w:rPr>
        <w:t xml:space="preserve">management agreement to grant us discretionary power over your account.  Our investment management agreement contains a limited power of attorney that allows us to select the security, the amount, and the time of the purchase or sale in your account.  It also allows us to place each trade without your prior approval.  Additionally, the agreement provides us with the ability to delegate our discretionary power to the sub-adviser.  Your custodian may request that you sign the custodian’s limited power of attorney. This varies with each custodian.  We discuss all limited powers of attorney with you prior to their execution.  In all cases, however, our discretion will be exercised in a manner consistent with the state investment objectives for your account and any other investment policies, limitations, or restrictions. </w:t>
      </w:r>
    </w:p>
    <w:p w14:paraId="1317D451" w14:textId="479F1515" w:rsidR="00ED1AC6" w:rsidRPr="00B43ADE" w:rsidRDefault="00ED1AC6" w:rsidP="00D15F5E">
      <w:pPr>
        <w:spacing w:before="120" w:after="240"/>
        <w:jc w:val="both"/>
        <w:rPr>
          <w:rFonts w:asciiTheme="minorHAnsi" w:hAnsiTheme="minorHAnsi" w:cstheme="minorHAnsi"/>
          <w:sz w:val="24"/>
          <w:szCs w:val="24"/>
        </w:rPr>
      </w:pPr>
      <w:r>
        <w:rPr>
          <w:rFonts w:asciiTheme="minorHAnsi" w:hAnsiTheme="minorHAnsi" w:cstheme="minorHAnsi"/>
          <w:bCs/>
          <w:sz w:val="24"/>
          <w:szCs w:val="24"/>
        </w:rPr>
        <w:t xml:space="preserve">With non-discretionary investment management, you will retain full discretion to supervise, manage, and direct the assets of the account.  You are free to manage the account with or without our recommendation and all with or without our prior consultation.  </w:t>
      </w:r>
    </w:p>
    <w:p w14:paraId="38A2164E" w14:textId="77777777" w:rsidR="00905A21" w:rsidRPr="00191618" w:rsidRDefault="00905A21" w:rsidP="00D15F5E">
      <w:pPr>
        <w:pStyle w:val="Heading1"/>
        <w:spacing w:before="0"/>
        <w:rPr>
          <w:rFonts w:asciiTheme="majorHAnsi" w:hAnsiTheme="majorHAnsi" w:cstheme="majorHAnsi"/>
        </w:rPr>
      </w:pPr>
      <w:bookmarkStart w:id="19" w:name="_Toc193370254"/>
      <w:r w:rsidRPr="00191618">
        <w:rPr>
          <w:rFonts w:asciiTheme="majorHAnsi" w:hAnsiTheme="majorHAnsi" w:cstheme="majorHAnsi"/>
        </w:rPr>
        <w:t>Item 17 – Voting Client Securities</w:t>
      </w:r>
      <w:bookmarkEnd w:id="19"/>
    </w:p>
    <w:p w14:paraId="4D826EA0" w14:textId="039A5C2E" w:rsidR="00EC3A55" w:rsidRPr="00523B8F" w:rsidRDefault="00A95C3E" w:rsidP="00523B8F">
      <w:pPr>
        <w:pStyle w:val="Body1"/>
        <w:tabs>
          <w:tab w:val="center" w:pos="4320"/>
          <w:tab w:val="right" w:pos="8640"/>
        </w:tabs>
        <w:spacing w:before="120" w:after="240"/>
        <w:jc w:val="both"/>
        <w:outlineLvl w:val="9"/>
        <w:rPr>
          <w:rFonts w:asciiTheme="minorHAnsi" w:hAnsiTheme="minorHAnsi" w:cstheme="minorHAnsi"/>
          <w:sz w:val="24"/>
          <w:szCs w:val="24"/>
        </w:rPr>
      </w:pPr>
      <w:r>
        <w:rPr>
          <w:rFonts w:asciiTheme="minorHAnsi" w:eastAsia="Times New Roman" w:hAnsiTheme="minorHAnsi"/>
          <w:sz w:val="23"/>
          <w:szCs w:val="23"/>
        </w:rPr>
        <w:t xml:space="preserve">We </w:t>
      </w:r>
      <w:r w:rsidRPr="00A95C3E">
        <w:rPr>
          <w:rFonts w:asciiTheme="minorHAnsi" w:eastAsia="Calibri" w:hAnsiTheme="minorHAnsi" w:cstheme="minorHAnsi"/>
          <w:sz w:val="24"/>
          <w:szCs w:val="24"/>
        </w:rPr>
        <w:t xml:space="preserve">do not vote proxy votes for any client. </w:t>
      </w:r>
      <w:r w:rsidR="00F41CA4">
        <w:rPr>
          <w:rFonts w:asciiTheme="minorHAnsi" w:eastAsia="Calibri" w:hAnsiTheme="minorHAnsi" w:cstheme="minorHAnsi"/>
          <w:sz w:val="24"/>
          <w:szCs w:val="24"/>
        </w:rPr>
        <w:t xml:space="preserve">All proxy materials are mailed or emailed directly to </w:t>
      </w:r>
      <w:r w:rsidR="00ED1AC6">
        <w:rPr>
          <w:rFonts w:asciiTheme="minorHAnsi" w:eastAsia="Calibri" w:hAnsiTheme="minorHAnsi" w:cstheme="minorHAnsi"/>
          <w:sz w:val="24"/>
          <w:szCs w:val="24"/>
        </w:rPr>
        <w:t>you</w:t>
      </w:r>
      <w:r w:rsidR="00F41CA4">
        <w:rPr>
          <w:rFonts w:asciiTheme="minorHAnsi" w:eastAsia="Calibri" w:hAnsiTheme="minorHAnsi" w:cstheme="minorHAnsi"/>
          <w:sz w:val="24"/>
          <w:szCs w:val="24"/>
        </w:rPr>
        <w:t xml:space="preserve"> from the custodian. </w:t>
      </w:r>
      <w:r w:rsidRPr="00A95C3E">
        <w:rPr>
          <w:rFonts w:asciiTheme="minorHAnsi" w:eastAsia="Calibri" w:hAnsiTheme="minorHAnsi" w:cstheme="minorHAnsi"/>
          <w:sz w:val="24"/>
          <w:szCs w:val="24"/>
        </w:rPr>
        <w:t xml:space="preserve">Any proxy </w:t>
      </w:r>
      <w:r w:rsidR="00F41CA4">
        <w:rPr>
          <w:rFonts w:asciiTheme="minorHAnsi" w:eastAsia="Calibri" w:hAnsiTheme="minorHAnsi" w:cstheme="minorHAnsi"/>
          <w:sz w:val="24"/>
          <w:szCs w:val="24"/>
        </w:rPr>
        <w:t xml:space="preserve">materials received by us </w:t>
      </w:r>
      <w:r w:rsidRPr="00A95C3E">
        <w:rPr>
          <w:rFonts w:asciiTheme="minorHAnsi" w:eastAsia="Calibri" w:hAnsiTheme="minorHAnsi" w:cstheme="minorHAnsi"/>
          <w:sz w:val="24"/>
          <w:szCs w:val="24"/>
        </w:rPr>
        <w:t xml:space="preserve">will be forwarded to </w:t>
      </w:r>
      <w:r w:rsidR="00ED1AC6">
        <w:rPr>
          <w:rFonts w:asciiTheme="minorHAnsi" w:eastAsia="Calibri" w:hAnsiTheme="minorHAnsi" w:cstheme="minorHAnsi"/>
          <w:sz w:val="24"/>
          <w:szCs w:val="24"/>
        </w:rPr>
        <w:t>you</w:t>
      </w:r>
      <w:r w:rsidRPr="00A95C3E">
        <w:rPr>
          <w:rFonts w:asciiTheme="minorHAnsi" w:eastAsia="Calibri" w:hAnsiTheme="minorHAnsi" w:cstheme="minorHAnsi"/>
          <w:sz w:val="24"/>
          <w:szCs w:val="24"/>
        </w:rPr>
        <w:t xml:space="preserve"> for response and voting. </w:t>
      </w:r>
      <w:r w:rsidRPr="00A95C3E">
        <w:rPr>
          <w:rFonts w:asciiTheme="minorHAnsi" w:hAnsiTheme="minorHAnsi" w:cstheme="minorHAnsi"/>
          <w:sz w:val="24"/>
          <w:szCs w:val="24"/>
        </w:rPr>
        <w:t xml:space="preserve">In the event </w:t>
      </w:r>
      <w:r w:rsidR="00ED1AC6">
        <w:rPr>
          <w:rFonts w:asciiTheme="minorHAnsi" w:hAnsiTheme="minorHAnsi" w:cstheme="minorHAnsi"/>
          <w:sz w:val="24"/>
          <w:szCs w:val="24"/>
        </w:rPr>
        <w:t>you have</w:t>
      </w:r>
      <w:r w:rsidRPr="00A95C3E">
        <w:rPr>
          <w:rFonts w:asciiTheme="minorHAnsi" w:hAnsiTheme="minorHAnsi" w:cstheme="minorHAnsi"/>
          <w:sz w:val="24"/>
          <w:szCs w:val="24"/>
        </w:rPr>
        <w:t xml:space="preserve"> a question about a proxy solicitation, </w:t>
      </w:r>
      <w:r w:rsidR="00F41CA4">
        <w:rPr>
          <w:rFonts w:asciiTheme="minorHAnsi" w:hAnsiTheme="minorHAnsi" w:cstheme="minorHAnsi"/>
          <w:sz w:val="24"/>
          <w:szCs w:val="24"/>
        </w:rPr>
        <w:t xml:space="preserve">feel free to </w:t>
      </w:r>
      <w:r w:rsidRPr="00A95C3E">
        <w:rPr>
          <w:rFonts w:asciiTheme="minorHAnsi" w:hAnsiTheme="minorHAnsi" w:cstheme="minorHAnsi"/>
          <w:sz w:val="24"/>
          <w:szCs w:val="24"/>
        </w:rPr>
        <w:t xml:space="preserve">contact </w:t>
      </w:r>
      <w:r w:rsidR="00B43ADE">
        <w:rPr>
          <w:rFonts w:asciiTheme="minorHAnsi" w:hAnsiTheme="minorHAnsi" w:cstheme="minorHAnsi"/>
          <w:sz w:val="24"/>
          <w:szCs w:val="24"/>
        </w:rPr>
        <w:t>us</w:t>
      </w:r>
      <w:r w:rsidR="00ED1AC6">
        <w:rPr>
          <w:rFonts w:asciiTheme="minorHAnsi" w:hAnsiTheme="minorHAnsi" w:cstheme="minorHAnsi"/>
          <w:sz w:val="24"/>
          <w:szCs w:val="24"/>
        </w:rPr>
        <w:t xml:space="preserve"> at any time</w:t>
      </w:r>
      <w:r w:rsidRPr="00A95C3E">
        <w:rPr>
          <w:rFonts w:asciiTheme="minorHAnsi" w:hAnsiTheme="minorHAnsi" w:cstheme="minorHAnsi"/>
          <w:sz w:val="24"/>
          <w:szCs w:val="24"/>
        </w:rPr>
        <w:t>.</w:t>
      </w:r>
    </w:p>
    <w:p w14:paraId="202C63D1" w14:textId="77777777" w:rsidR="00905A21" w:rsidRPr="00191618" w:rsidRDefault="00905A21" w:rsidP="00D15F5E">
      <w:pPr>
        <w:pStyle w:val="Heading1"/>
        <w:spacing w:before="0"/>
        <w:rPr>
          <w:rFonts w:asciiTheme="majorHAnsi" w:hAnsiTheme="majorHAnsi" w:cstheme="majorHAnsi"/>
        </w:rPr>
      </w:pPr>
      <w:bookmarkStart w:id="20" w:name="_Toc193370255"/>
      <w:r w:rsidRPr="00191618">
        <w:rPr>
          <w:rFonts w:asciiTheme="majorHAnsi" w:hAnsiTheme="majorHAnsi" w:cstheme="majorHAnsi"/>
        </w:rPr>
        <w:t>Item 18 – Financial Information</w:t>
      </w:r>
      <w:bookmarkEnd w:id="20"/>
    </w:p>
    <w:p w14:paraId="61FE14C0" w14:textId="77777777" w:rsidR="00A10217" w:rsidRPr="00653C76" w:rsidRDefault="00A10217" w:rsidP="00351C19">
      <w:pPr>
        <w:spacing w:before="120"/>
        <w:jc w:val="both"/>
        <w:rPr>
          <w:rFonts w:asciiTheme="minorHAnsi" w:hAnsiTheme="minorHAnsi"/>
          <w:smallCaps/>
          <w:sz w:val="24"/>
          <w:szCs w:val="24"/>
          <w:u w:val="single"/>
        </w:rPr>
      </w:pPr>
      <w:r w:rsidRPr="00653C76">
        <w:rPr>
          <w:rFonts w:asciiTheme="minorHAnsi" w:hAnsiTheme="minorHAnsi"/>
          <w:smallCaps/>
          <w:sz w:val="24"/>
          <w:szCs w:val="24"/>
          <w:u w:val="single"/>
        </w:rPr>
        <w:t xml:space="preserve">Balance Sheet </w:t>
      </w:r>
    </w:p>
    <w:p w14:paraId="310BE614" w14:textId="071CA4A1" w:rsidR="00FC7DB4" w:rsidRPr="00653C76" w:rsidRDefault="006C3618" w:rsidP="00D15F5E">
      <w:pPr>
        <w:spacing w:after="120"/>
        <w:jc w:val="both"/>
        <w:rPr>
          <w:rFonts w:asciiTheme="minorHAnsi" w:hAnsiTheme="minorHAnsi"/>
          <w:sz w:val="24"/>
          <w:szCs w:val="24"/>
        </w:rPr>
      </w:pPr>
      <w:r w:rsidRPr="00653C76">
        <w:rPr>
          <w:rFonts w:asciiTheme="minorHAnsi" w:hAnsiTheme="minorHAnsi"/>
          <w:sz w:val="24"/>
          <w:szCs w:val="24"/>
        </w:rPr>
        <w:t>We do</w:t>
      </w:r>
      <w:r w:rsidR="00A10217" w:rsidRPr="00653C76">
        <w:rPr>
          <w:rFonts w:asciiTheme="minorHAnsi" w:hAnsiTheme="minorHAnsi"/>
          <w:sz w:val="24"/>
          <w:szCs w:val="24"/>
        </w:rPr>
        <w:t xml:space="preserve"> not require or so</w:t>
      </w:r>
      <w:r w:rsidRPr="00653C76">
        <w:rPr>
          <w:rFonts w:asciiTheme="minorHAnsi" w:hAnsiTheme="minorHAnsi"/>
          <w:sz w:val="24"/>
          <w:szCs w:val="24"/>
        </w:rPr>
        <w:t>licit prepayment of more than $</w:t>
      </w:r>
      <w:r w:rsidR="00C46F74">
        <w:rPr>
          <w:rFonts w:asciiTheme="minorHAnsi" w:hAnsiTheme="minorHAnsi"/>
          <w:sz w:val="24"/>
          <w:szCs w:val="24"/>
        </w:rPr>
        <w:t>1,200</w:t>
      </w:r>
      <w:r w:rsidR="00C46F74" w:rsidRPr="00653C76">
        <w:rPr>
          <w:rFonts w:asciiTheme="minorHAnsi" w:hAnsiTheme="minorHAnsi"/>
          <w:sz w:val="24"/>
          <w:szCs w:val="24"/>
        </w:rPr>
        <w:t xml:space="preserve"> </w:t>
      </w:r>
      <w:r w:rsidR="00A10217" w:rsidRPr="00653C76">
        <w:rPr>
          <w:rFonts w:asciiTheme="minorHAnsi" w:hAnsiTheme="minorHAnsi"/>
          <w:sz w:val="24"/>
          <w:szCs w:val="24"/>
        </w:rPr>
        <w:t xml:space="preserve">in fees per client, six months or more in advance. </w:t>
      </w:r>
      <w:r w:rsidRPr="00653C76">
        <w:rPr>
          <w:rFonts w:asciiTheme="minorHAnsi" w:hAnsiTheme="minorHAnsi"/>
          <w:sz w:val="24"/>
          <w:szCs w:val="24"/>
        </w:rPr>
        <w:t>Therefore, we are not required to provide a balance sheet.</w:t>
      </w:r>
    </w:p>
    <w:p w14:paraId="1CD53337" w14:textId="77777777" w:rsidR="00A10217" w:rsidRPr="00653C76" w:rsidRDefault="00A10217" w:rsidP="00351C19">
      <w:pPr>
        <w:jc w:val="both"/>
        <w:rPr>
          <w:rFonts w:asciiTheme="minorHAnsi" w:hAnsiTheme="minorHAnsi"/>
          <w:smallCaps/>
          <w:sz w:val="24"/>
          <w:szCs w:val="24"/>
          <w:u w:val="single"/>
        </w:rPr>
      </w:pPr>
      <w:r w:rsidRPr="00653C76">
        <w:rPr>
          <w:rFonts w:asciiTheme="minorHAnsi" w:hAnsiTheme="minorHAnsi"/>
          <w:smallCaps/>
          <w:sz w:val="24"/>
          <w:szCs w:val="24"/>
          <w:u w:val="single"/>
        </w:rPr>
        <w:t>Financial Condition</w:t>
      </w:r>
    </w:p>
    <w:p w14:paraId="66B9BADF" w14:textId="5E2ED4D1" w:rsidR="00523B8F" w:rsidRDefault="006C3618" w:rsidP="00D15F5E">
      <w:pPr>
        <w:spacing w:after="120"/>
        <w:jc w:val="both"/>
        <w:rPr>
          <w:rFonts w:asciiTheme="minorHAnsi" w:hAnsiTheme="minorHAnsi"/>
          <w:sz w:val="24"/>
          <w:szCs w:val="24"/>
        </w:rPr>
      </w:pPr>
      <w:r w:rsidRPr="00653C76">
        <w:rPr>
          <w:rFonts w:asciiTheme="minorHAnsi" w:hAnsiTheme="minorHAnsi"/>
          <w:sz w:val="24"/>
          <w:szCs w:val="24"/>
        </w:rPr>
        <w:t>We</w:t>
      </w:r>
      <w:r w:rsidR="00A10217" w:rsidRPr="00653C76">
        <w:rPr>
          <w:rFonts w:asciiTheme="minorHAnsi" w:hAnsiTheme="minorHAnsi"/>
          <w:sz w:val="24"/>
          <w:szCs w:val="24"/>
        </w:rPr>
        <w:t xml:space="preserve"> are required in this Item to provide you with certain financial infor</w:t>
      </w:r>
      <w:r w:rsidRPr="00653C76">
        <w:rPr>
          <w:rFonts w:asciiTheme="minorHAnsi" w:hAnsiTheme="minorHAnsi"/>
          <w:sz w:val="24"/>
          <w:szCs w:val="24"/>
        </w:rPr>
        <w:t xml:space="preserve">mation or disclosures about our </w:t>
      </w:r>
      <w:r w:rsidR="00A10217" w:rsidRPr="00653C76">
        <w:rPr>
          <w:rFonts w:asciiTheme="minorHAnsi" w:hAnsiTheme="minorHAnsi"/>
          <w:sz w:val="24"/>
          <w:szCs w:val="24"/>
        </w:rPr>
        <w:t>financial condition</w:t>
      </w:r>
      <w:r w:rsidRPr="00653C76">
        <w:rPr>
          <w:rFonts w:asciiTheme="minorHAnsi" w:hAnsiTheme="minorHAnsi"/>
          <w:sz w:val="24"/>
          <w:szCs w:val="24"/>
        </w:rPr>
        <w:t xml:space="preserve"> if we have a financial commitment that impairs our ability to service you</w:t>
      </w:r>
      <w:r w:rsidR="00A10217" w:rsidRPr="00653C76">
        <w:rPr>
          <w:rFonts w:asciiTheme="minorHAnsi" w:hAnsiTheme="minorHAnsi"/>
          <w:sz w:val="24"/>
          <w:szCs w:val="24"/>
        </w:rPr>
        <w:t xml:space="preserve">.  </w:t>
      </w:r>
      <w:r w:rsidRPr="00653C76">
        <w:rPr>
          <w:rFonts w:asciiTheme="minorHAnsi" w:hAnsiTheme="minorHAnsi"/>
          <w:sz w:val="24"/>
          <w:szCs w:val="24"/>
        </w:rPr>
        <w:t>We do not have a</w:t>
      </w:r>
      <w:r w:rsidR="00A10217" w:rsidRPr="00653C76">
        <w:rPr>
          <w:rFonts w:asciiTheme="minorHAnsi" w:hAnsiTheme="minorHAnsi"/>
          <w:sz w:val="24"/>
          <w:szCs w:val="24"/>
        </w:rPr>
        <w:t xml:space="preserve"> financial commitment that impairs </w:t>
      </w:r>
      <w:r w:rsidRPr="00653C76">
        <w:rPr>
          <w:rFonts w:asciiTheme="minorHAnsi" w:hAnsiTheme="minorHAnsi"/>
          <w:sz w:val="24"/>
          <w:szCs w:val="24"/>
        </w:rPr>
        <w:t>our</w:t>
      </w:r>
      <w:r w:rsidR="00A10217" w:rsidRPr="00653C76">
        <w:rPr>
          <w:rFonts w:asciiTheme="minorHAnsi" w:hAnsiTheme="minorHAnsi"/>
          <w:sz w:val="24"/>
          <w:szCs w:val="24"/>
        </w:rPr>
        <w:t xml:space="preserve"> ability to service </w:t>
      </w:r>
      <w:r w:rsidRPr="00653C76">
        <w:rPr>
          <w:rFonts w:asciiTheme="minorHAnsi" w:hAnsiTheme="minorHAnsi"/>
          <w:sz w:val="24"/>
          <w:szCs w:val="24"/>
        </w:rPr>
        <w:t>our</w:t>
      </w:r>
      <w:r w:rsidR="00A10217" w:rsidRPr="00653C76">
        <w:rPr>
          <w:rFonts w:asciiTheme="minorHAnsi" w:hAnsiTheme="minorHAnsi"/>
          <w:sz w:val="24"/>
          <w:szCs w:val="24"/>
        </w:rPr>
        <w:t xml:space="preserve"> clients.</w:t>
      </w:r>
    </w:p>
    <w:p w14:paraId="23D3FA74" w14:textId="77777777" w:rsidR="00A10217" w:rsidRPr="00653C76" w:rsidRDefault="00A10217" w:rsidP="00351C19">
      <w:pPr>
        <w:jc w:val="both"/>
        <w:rPr>
          <w:rFonts w:asciiTheme="minorHAnsi" w:hAnsiTheme="minorHAnsi"/>
          <w:smallCaps/>
          <w:sz w:val="24"/>
          <w:szCs w:val="24"/>
          <w:u w:val="single"/>
        </w:rPr>
      </w:pPr>
      <w:r w:rsidRPr="00653C76">
        <w:rPr>
          <w:rFonts w:asciiTheme="minorHAnsi" w:hAnsiTheme="minorHAnsi"/>
          <w:smallCaps/>
          <w:sz w:val="24"/>
          <w:szCs w:val="24"/>
          <w:u w:val="single"/>
        </w:rPr>
        <w:t>Bankruptcy</w:t>
      </w:r>
    </w:p>
    <w:p w14:paraId="163C08BD" w14:textId="77777777" w:rsidR="00DA715B" w:rsidRPr="00653C76" w:rsidRDefault="006C3618" w:rsidP="00D15F5E">
      <w:pPr>
        <w:spacing w:after="240"/>
        <w:jc w:val="both"/>
        <w:rPr>
          <w:rFonts w:asciiTheme="minorHAnsi" w:hAnsiTheme="minorHAnsi"/>
          <w:b/>
          <w:sz w:val="24"/>
          <w:szCs w:val="24"/>
        </w:rPr>
      </w:pPr>
      <w:r w:rsidRPr="00653C76">
        <w:rPr>
          <w:rFonts w:asciiTheme="minorHAnsi" w:hAnsiTheme="minorHAnsi"/>
          <w:sz w:val="24"/>
          <w:szCs w:val="24"/>
        </w:rPr>
        <w:t>We</w:t>
      </w:r>
      <w:r w:rsidR="00A10217" w:rsidRPr="00653C76">
        <w:rPr>
          <w:rFonts w:asciiTheme="minorHAnsi" w:hAnsiTheme="minorHAnsi"/>
          <w:sz w:val="24"/>
          <w:szCs w:val="24"/>
        </w:rPr>
        <w:t xml:space="preserve"> have not been the subject of a bankruptcy proceeding. </w:t>
      </w:r>
    </w:p>
    <w:sectPr w:rsidR="00DA715B" w:rsidRPr="00653C76" w:rsidSect="00171159">
      <w:footerReference w:type="defaul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CD7E0" w14:textId="77777777" w:rsidR="00E618BF" w:rsidRDefault="00E618BF" w:rsidP="00E253BA">
      <w:r>
        <w:separator/>
      </w:r>
    </w:p>
  </w:endnote>
  <w:endnote w:type="continuationSeparator" w:id="0">
    <w:p w14:paraId="5101F17F" w14:textId="77777777" w:rsidR="00E618BF" w:rsidRDefault="00E618BF" w:rsidP="00E253BA">
      <w:r>
        <w:continuationSeparator/>
      </w:r>
    </w:p>
  </w:endnote>
  <w:endnote w:type="continuationNotice" w:id="1">
    <w:p w14:paraId="08FF45BD" w14:textId="77777777" w:rsidR="00E618BF" w:rsidRDefault="00E618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B0D9" w14:textId="076969E7" w:rsidR="00953757" w:rsidRPr="001611D3" w:rsidRDefault="00953757" w:rsidP="004669C2">
    <w:pPr>
      <w:pStyle w:val="Footer"/>
      <w:tabs>
        <w:tab w:val="clear" w:pos="9360"/>
      </w:tabs>
      <w:rPr>
        <w:rFonts w:asciiTheme="minorHAnsi" w:hAnsiTheme="minorHAnsi" w:cstheme="minorHAnsi"/>
        <w:b/>
        <w:i/>
        <w:color w:val="5B9BD5" w:themeColor="accent1"/>
        <w:sz w:val="18"/>
        <w:szCs w:val="18"/>
      </w:rPr>
    </w:pPr>
    <w:r>
      <w:rPr>
        <w:rFonts w:asciiTheme="minorHAnsi" w:hAnsiTheme="minorHAnsi" w:cstheme="minorHAnsi"/>
        <w:b/>
        <w:i/>
        <w:color w:val="5B9BD5" w:themeColor="accent1"/>
        <w:sz w:val="18"/>
        <w:szCs w:val="18"/>
      </w:rPr>
      <w:t>TFP Management, LLC</w:t>
    </w:r>
    <w:r w:rsidRPr="001611D3">
      <w:rPr>
        <w:rFonts w:asciiTheme="minorHAnsi" w:hAnsiTheme="minorHAnsi" w:cstheme="minorHAnsi"/>
        <w:b/>
        <w:i/>
        <w:color w:val="5B9BD5" w:themeColor="accent1"/>
        <w:sz w:val="18"/>
        <w:szCs w:val="18"/>
      </w:rPr>
      <w:tab/>
      <w:t xml:space="preserve">Page </w:t>
    </w:r>
    <w:r w:rsidRPr="001611D3">
      <w:rPr>
        <w:rFonts w:asciiTheme="minorHAnsi" w:hAnsiTheme="minorHAnsi" w:cstheme="minorHAnsi"/>
        <w:b/>
        <w:i/>
        <w:color w:val="5B9BD5" w:themeColor="accent1"/>
        <w:sz w:val="18"/>
        <w:szCs w:val="18"/>
      </w:rPr>
      <w:fldChar w:fldCharType="begin"/>
    </w:r>
    <w:r w:rsidRPr="001611D3">
      <w:rPr>
        <w:rFonts w:asciiTheme="minorHAnsi" w:hAnsiTheme="minorHAnsi" w:cstheme="minorHAnsi"/>
        <w:b/>
        <w:i/>
        <w:color w:val="5B9BD5" w:themeColor="accent1"/>
        <w:sz w:val="18"/>
        <w:szCs w:val="18"/>
      </w:rPr>
      <w:instrText xml:space="preserve"> PAGE   \* MERGEFORMAT </w:instrText>
    </w:r>
    <w:r w:rsidRPr="001611D3">
      <w:rPr>
        <w:rFonts w:asciiTheme="minorHAnsi" w:hAnsiTheme="minorHAnsi" w:cstheme="minorHAnsi"/>
        <w:b/>
        <w:i/>
        <w:color w:val="5B9BD5" w:themeColor="accent1"/>
        <w:sz w:val="18"/>
        <w:szCs w:val="18"/>
      </w:rPr>
      <w:fldChar w:fldCharType="separate"/>
    </w:r>
    <w:r>
      <w:rPr>
        <w:rFonts w:asciiTheme="minorHAnsi" w:hAnsiTheme="minorHAnsi" w:cstheme="minorHAnsi"/>
        <w:b/>
        <w:i/>
        <w:noProof/>
        <w:color w:val="5B9BD5" w:themeColor="accent1"/>
        <w:sz w:val="18"/>
        <w:szCs w:val="18"/>
      </w:rPr>
      <w:t>13</w:t>
    </w:r>
    <w:r w:rsidRPr="001611D3">
      <w:rPr>
        <w:rFonts w:asciiTheme="minorHAnsi" w:hAnsiTheme="minorHAnsi" w:cstheme="minorHAnsi"/>
        <w:b/>
        <w:i/>
        <w:color w:val="5B9BD5" w:themeColor="accent1"/>
        <w:sz w:val="18"/>
        <w:szCs w:val="18"/>
      </w:rPr>
      <w:fldChar w:fldCharType="end"/>
    </w:r>
    <w:r w:rsidRPr="001611D3">
      <w:rPr>
        <w:rFonts w:asciiTheme="minorHAnsi" w:hAnsiTheme="minorHAnsi" w:cstheme="minorHAnsi"/>
        <w:b/>
        <w:i/>
        <w:color w:val="5B9BD5" w:themeColor="accent1"/>
        <w:sz w:val="18"/>
        <w:szCs w:val="18"/>
      </w:rPr>
      <w:tab/>
    </w:r>
    <w:r w:rsidRPr="001611D3">
      <w:rPr>
        <w:rFonts w:asciiTheme="minorHAnsi" w:hAnsiTheme="minorHAnsi" w:cstheme="minorHAnsi"/>
        <w:b/>
        <w:i/>
        <w:color w:val="5B9BD5" w:themeColor="accent1"/>
        <w:sz w:val="18"/>
        <w:szCs w:val="18"/>
      </w:rPr>
      <w:tab/>
    </w:r>
    <w:r w:rsidRPr="001611D3">
      <w:rPr>
        <w:rFonts w:asciiTheme="minorHAnsi" w:hAnsiTheme="minorHAnsi" w:cstheme="minorHAnsi"/>
        <w:b/>
        <w:i/>
        <w:color w:val="5B9BD5" w:themeColor="accent1"/>
        <w:sz w:val="18"/>
        <w:szCs w:val="18"/>
      </w:rPr>
      <w:tab/>
    </w:r>
    <w:r w:rsidRPr="001611D3">
      <w:rPr>
        <w:rFonts w:asciiTheme="minorHAnsi" w:hAnsiTheme="minorHAnsi" w:cstheme="minorHAnsi"/>
        <w:b/>
        <w:i/>
        <w:color w:val="5B9BD5" w:themeColor="accent1"/>
        <w:sz w:val="18"/>
        <w:szCs w:val="18"/>
      </w:rPr>
      <w:tab/>
      <w:t xml:space="preserve">ADV Part 2A – </w:t>
    </w:r>
    <w:r w:rsidR="00D636BA">
      <w:rPr>
        <w:rFonts w:asciiTheme="minorHAnsi" w:hAnsiTheme="minorHAnsi" w:cstheme="minorHAnsi"/>
        <w:b/>
        <w:i/>
        <w:color w:val="5B9BD5" w:themeColor="accent1"/>
        <w:sz w:val="18"/>
        <w:szCs w:val="18"/>
      </w:rPr>
      <w:t>3/2</w:t>
    </w:r>
    <w:r w:rsidR="00381C59">
      <w:rPr>
        <w:rFonts w:asciiTheme="minorHAnsi" w:hAnsiTheme="minorHAnsi" w:cstheme="minorHAnsi"/>
        <w:b/>
        <w:i/>
        <w:color w:val="5B9BD5" w:themeColor="accent1"/>
        <w:sz w:val="18"/>
        <w:szCs w:val="18"/>
      </w:rPr>
      <w:t>3</w:t>
    </w:r>
    <w:r w:rsidR="00D636BA">
      <w:rPr>
        <w:rFonts w:asciiTheme="minorHAnsi" w:hAnsiTheme="minorHAnsi" w:cstheme="minorHAnsi"/>
        <w:b/>
        <w:i/>
        <w:color w:val="5B9BD5" w:themeColor="accent1"/>
        <w:sz w:val="18"/>
        <w:szCs w:val="18"/>
      </w:rPr>
      <w:t>/202</w:t>
    </w:r>
    <w:r w:rsidR="00381C59">
      <w:rPr>
        <w:rFonts w:asciiTheme="minorHAnsi" w:hAnsiTheme="minorHAnsi" w:cstheme="minorHAnsi"/>
        <w:b/>
        <w:i/>
        <w:color w:val="5B9BD5" w:themeColor="accent1"/>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7C14E" w14:textId="77777777" w:rsidR="00E618BF" w:rsidRDefault="00E618BF" w:rsidP="00E253BA">
      <w:r>
        <w:separator/>
      </w:r>
    </w:p>
  </w:footnote>
  <w:footnote w:type="continuationSeparator" w:id="0">
    <w:p w14:paraId="5556B26E" w14:textId="77777777" w:rsidR="00E618BF" w:rsidRDefault="00E618BF" w:rsidP="00E253BA">
      <w:r>
        <w:continuationSeparator/>
      </w:r>
    </w:p>
  </w:footnote>
  <w:footnote w:type="continuationNotice" w:id="1">
    <w:p w14:paraId="22E40B01" w14:textId="77777777" w:rsidR="00E618BF" w:rsidRDefault="00E618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4E6"/>
    <w:multiLevelType w:val="hybridMultilevel"/>
    <w:tmpl w:val="C776963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B603E3"/>
    <w:multiLevelType w:val="hybridMultilevel"/>
    <w:tmpl w:val="A8AC835C"/>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 w15:restartNumberingAfterBreak="0">
    <w:nsid w:val="0BAF6EB6"/>
    <w:multiLevelType w:val="hybridMultilevel"/>
    <w:tmpl w:val="F7F0718E"/>
    <w:lvl w:ilvl="0" w:tplc="850A394E">
      <w:start w:val="1"/>
      <w:numFmt w:val="upperLetter"/>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E9172C2"/>
    <w:multiLevelType w:val="hybridMultilevel"/>
    <w:tmpl w:val="939C4F0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10012D5F"/>
    <w:multiLevelType w:val="hybridMultilevel"/>
    <w:tmpl w:val="C5AE20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117A32"/>
    <w:multiLevelType w:val="hybridMultilevel"/>
    <w:tmpl w:val="3B84B1C2"/>
    <w:lvl w:ilvl="0" w:tplc="FFCE0536">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5EC29CA"/>
    <w:multiLevelType w:val="hybridMultilevel"/>
    <w:tmpl w:val="4DA66912"/>
    <w:lvl w:ilvl="0" w:tplc="9B7C81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9380F"/>
    <w:multiLevelType w:val="hybridMultilevel"/>
    <w:tmpl w:val="0E18FFF0"/>
    <w:lvl w:ilvl="0" w:tplc="5D701B5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F03BF4"/>
    <w:multiLevelType w:val="hybridMultilevel"/>
    <w:tmpl w:val="E968FBBC"/>
    <w:lvl w:ilvl="0" w:tplc="F20AE896">
      <w:start w:val="1"/>
      <w:numFmt w:val="decimal"/>
      <w:lvlText w:val="%1."/>
      <w:lvlJc w:val="left"/>
      <w:pPr>
        <w:ind w:left="720" w:hanging="360"/>
      </w:pPr>
      <w:rPr>
        <w:rFonts w:cs="Times New Roman" w:hint="default"/>
        <w:b/>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ADD2565"/>
    <w:multiLevelType w:val="hybridMultilevel"/>
    <w:tmpl w:val="B9CA0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4F2001"/>
    <w:multiLevelType w:val="multilevel"/>
    <w:tmpl w:val="1F4AC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B0069D"/>
    <w:multiLevelType w:val="hybridMultilevel"/>
    <w:tmpl w:val="C880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5D3642"/>
    <w:multiLevelType w:val="hybridMultilevel"/>
    <w:tmpl w:val="2D28A53A"/>
    <w:lvl w:ilvl="0" w:tplc="04090015">
      <w:start w:val="1"/>
      <w:numFmt w:val="upp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30513D7E"/>
    <w:multiLevelType w:val="hybridMultilevel"/>
    <w:tmpl w:val="7094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F4597C"/>
    <w:multiLevelType w:val="hybridMultilevel"/>
    <w:tmpl w:val="44B2D04C"/>
    <w:lvl w:ilvl="0" w:tplc="C102FA2E">
      <w:numFmt w:val="bullet"/>
      <w:lvlText w:val="-"/>
      <w:lvlJc w:val="left"/>
      <w:pPr>
        <w:ind w:left="2520" w:hanging="360"/>
      </w:pPr>
      <w:rPr>
        <w:rFonts w:ascii="Times New Roman" w:eastAsia="Times New Roman" w:hAnsi="Times New Roman"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7B71ED5"/>
    <w:multiLevelType w:val="multilevel"/>
    <w:tmpl w:val="36E8D4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86C3830"/>
    <w:multiLevelType w:val="hybridMultilevel"/>
    <w:tmpl w:val="A6A6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A55A91"/>
    <w:multiLevelType w:val="hybridMultilevel"/>
    <w:tmpl w:val="875A1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E22C6E"/>
    <w:multiLevelType w:val="hybridMultilevel"/>
    <w:tmpl w:val="4E72045E"/>
    <w:lvl w:ilvl="0" w:tplc="D924B73C">
      <w:start w:val="4"/>
      <w:numFmt w:val="decimal"/>
      <w:lvlText w:val="%1."/>
      <w:lvlJc w:val="left"/>
      <w:pPr>
        <w:ind w:left="450" w:hanging="360"/>
      </w:pPr>
      <w:rPr>
        <w:rFonts w:cs="Times New Roman" w:hint="default"/>
      </w:rPr>
    </w:lvl>
    <w:lvl w:ilvl="1" w:tplc="04090015">
      <w:start w:val="1"/>
      <w:numFmt w:val="upperLetter"/>
      <w:lvlText w:val="%2."/>
      <w:lvlJc w:val="left"/>
      <w:pPr>
        <w:ind w:left="1080" w:hanging="360"/>
      </w:pPr>
      <w:rPr>
        <w:rFonts w:cs="Times New Roman"/>
        <w:b w:val="0"/>
      </w:rPr>
    </w:lvl>
    <w:lvl w:ilvl="2" w:tplc="38546C82">
      <w:start w:val="1"/>
      <w:numFmt w:val="lowerRoman"/>
      <w:lvlText w:val="%3."/>
      <w:lvlJc w:val="right"/>
      <w:pPr>
        <w:ind w:left="1800" w:hanging="180"/>
      </w:pPr>
      <w:rPr>
        <w:rFonts w:cs="Times New Roman"/>
        <w:b w:val="0"/>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4B165E23"/>
    <w:multiLevelType w:val="hybridMultilevel"/>
    <w:tmpl w:val="F086EE9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E542E0"/>
    <w:multiLevelType w:val="hybridMultilevel"/>
    <w:tmpl w:val="2752C19A"/>
    <w:lvl w:ilvl="0" w:tplc="6CB4D15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5210C3"/>
    <w:multiLevelType w:val="hybridMultilevel"/>
    <w:tmpl w:val="56EC1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D0963"/>
    <w:multiLevelType w:val="hybridMultilevel"/>
    <w:tmpl w:val="933041DC"/>
    <w:lvl w:ilvl="0" w:tplc="8D102854">
      <w:start w:val="1"/>
      <w:numFmt w:val="upperLetter"/>
      <w:lvlText w:val="%1."/>
      <w:lvlJc w:val="left"/>
      <w:pPr>
        <w:ind w:left="2520" w:hanging="360"/>
      </w:pPr>
      <w:rPr>
        <w:rFonts w:hint="default"/>
        <w:b/>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1FE3AFE"/>
    <w:multiLevelType w:val="hybridMultilevel"/>
    <w:tmpl w:val="568EE18C"/>
    <w:lvl w:ilvl="0" w:tplc="55AAD4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5A1235"/>
    <w:multiLevelType w:val="hybridMultilevel"/>
    <w:tmpl w:val="35FC8F9A"/>
    <w:lvl w:ilvl="0" w:tplc="678CEAD0">
      <w:start w:val="1"/>
      <w:numFmt w:val="upperLetter"/>
      <w:lvlText w:val="%1."/>
      <w:lvlJc w:val="left"/>
      <w:pPr>
        <w:ind w:left="1440" w:hanging="360"/>
      </w:pPr>
      <w:rPr>
        <w:rFonts w:hint="default"/>
        <w:b w:val="0"/>
      </w:rPr>
    </w:lvl>
    <w:lvl w:ilvl="1" w:tplc="04090015">
      <w:start w:val="1"/>
      <w:numFmt w:val="upperLetter"/>
      <w:lvlText w:val="%2."/>
      <w:lvlJc w:val="left"/>
      <w:pPr>
        <w:ind w:left="2160" w:hanging="360"/>
      </w:pPr>
    </w:lvl>
    <w:lvl w:ilvl="2" w:tplc="0409001B">
      <w:start w:val="1"/>
      <w:numFmt w:val="lowerRoman"/>
      <w:lvlText w:val="%3."/>
      <w:lvlJc w:val="right"/>
      <w:pPr>
        <w:ind w:left="2880" w:hanging="180"/>
      </w:pPr>
    </w:lvl>
    <w:lvl w:ilvl="3" w:tplc="1932E3A2">
      <w:start w:val="1"/>
      <w:numFmt w:val="upp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805F19"/>
    <w:multiLevelType w:val="hybridMultilevel"/>
    <w:tmpl w:val="A4CCC2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67781B"/>
    <w:multiLevelType w:val="hybridMultilevel"/>
    <w:tmpl w:val="EBC2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E94B54"/>
    <w:multiLevelType w:val="hybridMultilevel"/>
    <w:tmpl w:val="3D704FF2"/>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8" w15:restartNumberingAfterBreak="0">
    <w:nsid w:val="5AA071CB"/>
    <w:multiLevelType w:val="hybridMultilevel"/>
    <w:tmpl w:val="FD8EFA78"/>
    <w:lvl w:ilvl="0" w:tplc="692EA1D0">
      <w:start w:val="1"/>
      <w:numFmt w:val="upperLetter"/>
      <w:lvlText w:val="%1."/>
      <w:lvlJc w:val="left"/>
      <w:pPr>
        <w:ind w:left="720" w:hanging="360"/>
      </w:pPr>
      <w:rPr>
        <w:rFonts w:cs="TimesNewRoman" w:hint="default"/>
        <w:i w:val="0"/>
        <w:sz w:val="24"/>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9234F4"/>
    <w:multiLevelType w:val="multilevel"/>
    <w:tmpl w:val="8278D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9C6757"/>
    <w:multiLevelType w:val="hybridMultilevel"/>
    <w:tmpl w:val="387A32B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F4E7607"/>
    <w:multiLevelType w:val="hybridMultilevel"/>
    <w:tmpl w:val="887E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FB3EAE"/>
    <w:multiLevelType w:val="hybridMultilevel"/>
    <w:tmpl w:val="B8C0554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8E3261D"/>
    <w:multiLevelType w:val="hybridMultilevel"/>
    <w:tmpl w:val="E348CD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D5C3256"/>
    <w:multiLevelType w:val="hybridMultilevel"/>
    <w:tmpl w:val="B6B0F078"/>
    <w:lvl w:ilvl="0" w:tplc="6FD84684">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F17DD2"/>
    <w:multiLevelType w:val="hybridMultilevel"/>
    <w:tmpl w:val="726AE6E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15:restartNumberingAfterBreak="0">
    <w:nsid w:val="7DF27D2A"/>
    <w:multiLevelType w:val="hybridMultilevel"/>
    <w:tmpl w:val="F40E7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0955315">
    <w:abstractNumId w:val="18"/>
  </w:num>
  <w:num w:numId="2" w16cid:durableId="1709724403">
    <w:abstractNumId w:val="12"/>
  </w:num>
  <w:num w:numId="3" w16cid:durableId="766273130">
    <w:abstractNumId w:val="32"/>
  </w:num>
  <w:num w:numId="4" w16cid:durableId="1567909439">
    <w:abstractNumId w:val="2"/>
  </w:num>
  <w:num w:numId="5" w16cid:durableId="271934558">
    <w:abstractNumId w:val="14"/>
  </w:num>
  <w:num w:numId="6" w16cid:durableId="1771467410">
    <w:abstractNumId w:val="35"/>
  </w:num>
  <w:num w:numId="7" w16cid:durableId="484051198">
    <w:abstractNumId w:val="30"/>
  </w:num>
  <w:num w:numId="8" w16cid:durableId="2101363983">
    <w:abstractNumId w:val="8"/>
  </w:num>
  <w:num w:numId="9" w16cid:durableId="1346132647">
    <w:abstractNumId w:val="34"/>
  </w:num>
  <w:num w:numId="10" w16cid:durableId="22440978">
    <w:abstractNumId w:val="29"/>
  </w:num>
  <w:num w:numId="11" w16cid:durableId="456217645">
    <w:abstractNumId w:val="3"/>
  </w:num>
  <w:num w:numId="12" w16cid:durableId="519003790">
    <w:abstractNumId w:val="27"/>
  </w:num>
  <w:num w:numId="13" w16cid:durableId="246499462">
    <w:abstractNumId w:val="10"/>
  </w:num>
  <w:num w:numId="14" w16cid:durableId="722025125">
    <w:abstractNumId w:val="0"/>
  </w:num>
  <w:num w:numId="15" w16cid:durableId="157308558">
    <w:abstractNumId w:val="33"/>
  </w:num>
  <w:num w:numId="16" w16cid:durableId="809438992">
    <w:abstractNumId w:val="17"/>
  </w:num>
  <w:num w:numId="17" w16cid:durableId="222833157">
    <w:abstractNumId w:val="11"/>
  </w:num>
  <w:num w:numId="18" w16cid:durableId="69743891">
    <w:abstractNumId w:val="26"/>
  </w:num>
  <w:num w:numId="19" w16cid:durableId="969742963">
    <w:abstractNumId w:val="21"/>
  </w:num>
  <w:num w:numId="20" w16cid:durableId="522980082">
    <w:abstractNumId w:val="16"/>
  </w:num>
  <w:num w:numId="21" w16cid:durableId="605847158">
    <w:abstractNumId w:val="9"/>
  </w:num>
  <w:num w:numId="22" w16cid:durableId="2003702717">
    <w:abstractNumId w:val="6"/>
  </w:num>
  <w:num w:numId="23" w16cid:durableId="1317032187">
    <w:abstractNumId w:val="15"/>
  </w:num>
  <w:num w:numId="24" w16cid:durableId="1807771734">
    <w:abstractNumId w:val="13"/>
  </w:num>
  <w:num w:numId="25" w16cid:durableId="1649673048">
    <w:abstractNumId w:val="24"/>
  </w:num>
  <w:num w:numId="26" w16cid:durableId="1119031511">
    <w:abstractNumId w:val="5"/>
  </w:num>
  <w:num w:numId="27" w16cid:durableId="1902445671">
    <w:abstractNumId w:val="22"/>
  </w:num>
  <w:num w:numId="28" w16cid:durableId="337856076">
    <w:abstractNumId w:val="36"/>
  </w:num>
  <w:num w:numId="29" w16cid:durableId="1229725802">
    <w:abstractNumId w:val="19"/>
  </w:num>
  <w:num w:numId="30" w16cid:durableId="1174760890">
    <w:abstractNumId w:val="1"/>
  </w:num>
  <w:num w:numId="31" w16cid:durableId="826360470">
    <w:abstractNumId w:val="28"/>
  </w:num>
  <w:num w:numId="32" w16cid:durableId="342441955">
    <w:abstractNumId w:val="25"/>
  </w:num>
  <w:num w:numId="33" w16cid:durableId="1348680145">
    <w:abstractNumId w:val="4"/>
  </w:num>
  <w:num w:numId="34" w16cid:durableId="588739856">
    <w:abstractNumId w:val="20"/>
  </w:num>
  <w:num w:numId="35" w16cid:durableId="1716805790">
    <w:abstractNumId w:val="7"/>
  </w:num>
  <w:num w:numId="36" w16cid:durableId="1453137250">
    <w:abstractNumId w:val="23"/>
  </w:num>
  <w:num w:numId="37" w16cid:durableId="120799076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692"/>
    <w:rsid w:val="00000B73"/>
    <w:rsid w:val="0000518C"/>
    <w:rsid w:val="00005436"/>
    <w:rsid w:val="000066A1"/>
    <w:rsid w:val="00007375"/>
    <w:rsid w:val="00007514"/>
    <w:rsid w:val="0001409C"/>
    <w:rsid w:val="00014337"/>
    <w:rsid w:val="00015436"/>
    <w:rsid w:val="00022FAC"/>
    <w:rsid w:val="00023709"/>
    <w:rsid w:val="00026069"/>
    <w:rsid w:val="00026F83"/>
    <w:rsid w:val="000270AD"/>
    <w:rsid w:val="00027BD0"/>
    <w:rsid w:val="00030F05"/>
    <w:rsid w:val="00031319"/>
    <w:rsid w:val="00031797"/>
    <w:rsid w:val="000317A6"/>
    <w:rsid w:val="00031B95"/>
    <w:rsid w:val="00032B90"/>
    <w:rsid w:val="00033E64"/>
    <w:rsid w:val="00034067"/>
    <w:rsid w:val="00034235"/>
    <w:rsid w:val="000354EC"/>
    <w:rsid w:val="0004207B"/>
    <w:rsid w:val="000440E8"/>
    <w:rsid w:val="00044AE2"/>
    <w:rsid w:val="0004669F"/>
    <w:rsid w:val="00046986"/>
    <w:rsid w:val="00047399"/>
    <w:rsid w:val="00047A74"/>
    <w:rsid w:val="000513BB"/>
    <w:rsid w:val="0005155F"/>
    <w:rsid w:val="00053182"/>
    <w:rsid w:val="0005339D"/>
    <w:rsid w:val="00054902"/>
    <w:rsid w:val="00057EAD"/>
    <w:rsid w:val="00060DBE"/>
    <w:rsid w:val="00061761"/>
    <w:rsid w:val="000623B3"/>
    <w:rsid w:val="00062A03"/>
    <w:rsid w:val="000634E0"/>
    <w:rsid w:val="000650AD"/>
    <w:rsid w:val="00070EC2"/>
    <w:rsid w:val="000716A0"/>
    <w:rsid w:val="00071D60"/>
    <w:rsid w:val="000732F7"/>
    <w:rsid w:val="000738BC"/>
    <w:rsid w:val="00074470"/>
    <w:rsid w:val="000745CC"/>
    <w:rsid w:val="000771A0"/>
    <w:rsid w:val="000850B5"/>
    <w:rsid w:val="000872C7"/>
    <w:rsid w:val="00087D47"/>
    <w:rsid w:val="00090B67"/>
    <w:rsid w:val="00090CD7"/>
    <w:rsid w:val="00091F42"/>
    <w:rsid w:val="00095036"/>
    <w:rsid w:val="00097CAB"/>
    <w:rsid w:val="000A006C"/>
    <w:rsid w:val="000A0555"/>
    <w:rsid w:val="000A0790"/>
    <w:rsid w:val="000A09F3"/>
    <w:rsid w:val="000A0F80"/>
    <w:rsid w:val="000A1877"/>
    <w:rsid w:val="000A1ECA"/>
    <w:rsid w:val="000A386C"/>
    <w:rsid w:val="000A4483"/>
    <w:rsid w:val="000A4985"/>
    <w:rsid w:val="000A5E4F"/>
    <w:rsid w:val="000A601B"/>
    <w:rsid w:val="000A63CC"/>
    <w:rsid w:val="000A6D1F"/>
    <w:rsid w:val="000A7A7E"/>
    <w:rsid w:val="000A7F7D"/>
    <w:rsid w:val="000B1237"/>
    <w:rsid w:val="000B2D2C"/>
    <w:rsid w:val="000B3021"/>
    <w:rsid w:val="000B3D85"/>
    <w:rsid w:val="000B460C"/>
    <w:rsid w:val="000B4C6B"/>
    <w:rsid w:val="000B66B9"/>
    <w:rsid w:val="000B6979"/>
    <w:rsid w:val="000B6D9F"/>
    <w:rsid w:val="000B75DC"/>
    <w:rsid w:val="000B769B"/>
    <w:rsid w:val="000B7A85"/>
    <w:rsid w:val="000C0906"/>
    <w:rsid w:val="000C17EF"/>
    <w:rsid w:val="000C3E2E"/>
    <w:rsid w:val="000C4831"/>
    <w:rsid w:val="000C5B91"/>
    <w:rsid w:val="000C5D6A"/>
    <w:rsid w:val="000D0A3B"/>
    <w:rsid w:val="000D303A"/>
    <w:rsid w:val="000D3F74"/>
    <w:rsid w:val="000D506A"/>
    <w:rsid w:val="000D68A4"/>
    <w:rsid w:val="000D75D5"/>
    <w:rsid w:val="000E0977"/>
    <w:rsid w:val="000E0B60"/>
    <w:rsid w:val="000E0C76"/>
    <w:rsid w:val="000E1166"/>
    <w:rsid w:val="000E1793"/>
    <w:rsid w:val="000E189D"/>
    <w:rsid w:val="000E73CD"/>
    <w:rsid w:val="000F1126"/>
    <w:rsid w:val="000F1AAD"/>
    <w:rsid w:val="000F3DCB"/>
    <w:rsid w:val="000F3E88"/>
    <w:rsid w:val="000F49E7"/>
    <w:rsid w:val="000F59DB"/>
    <w:rsid w:val="00100F12"/>
    <w:rsid w:val="00102363"/>
    <w:rsid w:val="0010297B"/>
    <w:rsid w:val="00104326"/>
    <w:rsid w:val="00110C06"/>
    <w:rsid w:val="00111DD3"/>
    <w:rsid w:val="00112366"/>
    <w:rsid w:val="00112C0D"/>
    <w:rsid w:val="00112EDC"/>
    <w:rsid w:val="00114934"/>
    <w:rsid w:val="00115800"/>
    <w:rsid w:val="00115820"/>
    <w:rsid w:val="00117FCD"/>
    <w:rsid w:val="0012038C"/>
    <w:rsid w:val="00120EB5"/>
    <w:rsid w:val="00120F07"/>
    <w:rsid w:val="001247D7"/>
    <w:rsid w:val="00125279"/>
    <w:rsid w:val="0013015E"/>
    <w:rsid w:val="001303B6"/>
    <w:rsid w:val="0013081D"/>
    <w:rsid w:val="00130EDF"/>
    <w:rsid w:val="001311C3"/>
    <w:rsid w:val="00131A77"/>
    <w:rsid w:val="001328A9"/>
    <w:rsid w:val="00133365"/>
    <w:rsid w:val="0013442D"/>
    <w:rsid w:val="00135052"/>
    <w:rsid w:val="00135A32"/>
    <w:rsid w:val="00137104"/>
    <w:rsid w:val="0014156C"/>
    <w:rsid w:val="001415C0"/>
    <w:rsid w:val="00141C3A"/>
    <w:rsid w:val="00144019"/>
    <w:rsid w:val="001510BD"/>
    <w:rsid w:val="0015227C"/>
    <w:rsid w:val="001525A4"/>
    <w:rsid w:val="0015282E"/>
    <w:rsid w:val="00153290"/>
    <w:rsid w:val="001534EE"/>
    <w:rsid w:val="00155441"/>
    <w:rsid w:val="00156F58"/>
    <w:rsid w:val="001611D3"/>
    <w:rsid w:val="0016140C"/>
    <w:rsid w:val="0016221E"/>
    <w:rsid w:val="001624A9"/>
    <w:rsid w:val="00162E78"/>
    <w:rsid w:val="0016313B"/>
    <w:rsid w:val="00163768"/>
    <w:rsid w:val="00165D24"/>
    <w:rsid w:val="00166EDD"/>
    <w:rsid w:val="00167353"/>
    <w:rsid w:val="00167B28"/>
    <w:rsid w:val="00171159"/>
    <w:rsid w:val="00172B63"/>
    <w:rsid w:val="00172C77"/>
    <w:rsid w:val="00173563"/>
    <w:rsid w:val="00175F8B"/>
    <w:rsid w:val="001803F1"/>
    <w:rsid w:val="0018047E"/>
    <w:rsid w:val="001804D2"/>
    <w:rsid w:val="00180F96"/>
    <w:rsid w:val="00181D3C"/>
    <w:rsid w:val="00183D87"/>
    <w:rsid w:val="00184082"/>
    <w:rsid w:val="00184613"/>
    <w:rsid w:val="00185605"/>
    <w:rsid w:val="00186052"/>
    <w:rsid w:val="00186777"/>
    <w:rsid w:val="00187E1C"/>
    <w:rsid w:val="00190C9F"/>
    <w:rsid w:val="00191618"/>
    <w:rsid w:val="0019290D"/>
    <w:rsid w:val="001946FC"/>
    <w:rsid w:val="00195E06"/>
    <w:rsid w:val="001977F9"/>
    <w:rsid w:val="001A0335"/>
    <w:rsid w:val="001A14F4"/>
    <w:rsid w:val="001A20F8"/>
    <w:rsid w:val="001A2F71"/>
    <w:rsid w:val="001A5517"/>
    <w:rsid w:val="001A5CE2"/>
    <w:rsid w:val="001A6B12"/>
    <w:rsid w:val="001B024B"/>
    <w:rsid w:val="001B38A5"/>
    <w:rsid w:val="001B4F51"/>
    <w:rsid w:val="001B56E6"/>
    <w:rsid w:val="001B655B"/>
    <w:rsid w:val="001B7082"/>
    <w:rsid w:val="001C008C"/>
    <w:rsid w:val="001C20FD"/>
    <w:rsid w:val="001C2538"/>
    <w:rsid w:val="001C2E4A"/>
    <w:rsid w:val="001C3625"/>
    <w:rsid w:val="001C3A87"/>
    <w:rsid w:val="001C5519"/>
    <w:rsid w:val="001C6877"/>
    <w:rsid w:val="001C68FD"/>
    <w:rsid w:val="001C6A65"/>
    <w:rsid w:val="001C6B40"/>
    <w:rsid w:val="001D2B96"/>
    <w:rsid w:val="001D3FD5"/>
    <w:rsid w:val="001D4B5D"/>
    <w:rsid w:val="001D5887"/>
    <w:rsid w:val="001D7A38"/>
    <w:rsid w:val="001D7C7E"/>
    <w:rsid w:val="001E01F5"/>
    <w:rsid w:val="001E0968"/>
    <w:rsid w:val="001E2E1D"/>
    <w:rsid w:val="001E5227"/>
    <w:rsid w:val="001E66C0"/>
    <w:rsid w:val="001E68A7"/>
    <w:rsid w:val="001E7087"/>
    <w:rsid w:val="001E75D6"/>
    <w:rsid w:val="001E7634"/>
    <w:rsid w:val="001F0704"/>
    <w:rsid w:val="001F204C"/>
    <w:rsid w:val="001F4CAA"/>
    <w:rsid w:val="001F5881"/>
    <w:rsid w:val="002007F9"/>
    <w:rsid w:val="002012EF"/>
    <w:rsid w:val="00201A7C"/>
    <w:rsid w:val="002023FB"/>
    <w:rsid w:val="00202AE0"/>
    <w:rsid w:val="0020500C"/>
    <w:rsid w:val="00206FC8"/>
    <w:rsid w:val="002108AA"/>
    <w:rsid w:val="00212B12"/>
    <w:rsid w:val="00212D5E"/>
    <w:rsid w:val="00213304"/>
    <w:rsid w:val="002139DD"/>
    <w:rsid w:val="002154E6"/>
    <w:rsid w:val="0021610D"/>
    <w:rsid w:val="00220186"/>
    <w:rsid w:val="002201E6"/>
    <w:rsid w:val="00220844"/>
    <w:rsid w:val="00221707"/>
    <w:rsid w:val="0022478A"/>
    <w:rsid w:val="002259A8"/>
    <w:rsid w:val="00226CC3"/>
    <w:rsid w:val="002272BC"/>
    <w:rsid w:val="00227378"/>
    <w:rsid w:val="002315B9"/>
    <w:rsid w:val="002316CD"/>
    <w:rsid w:val="00233633"/>
    <w:rsid w:val="00233D57"/>
    <w:rsid w:val="00233E0A"/>
    <w:rsid w:val="00234096"/>
    <w:rsid w:val="002343CE"/>
    <w:rsid w:val="00235246"/>
    <w:rsid w:val="00235834"/>
    <w:rsid w:val="0023584A"/>
    <w:rsid w:val="002378C9"/>
    <w:rsid w:val="00240673"/>
    <w:rsid w:val="00240A16"/>
    <w:rsid w:val="00241AE1"/>
    <w:rsid w:val="0024389A"/>
    <w:rsid w:val="0024481F"/>
    <w:rsid w:val="00245BC0"/>
    <w:rsid w:val="002467DA"/>
    <w:rsid w:val="002467DB"/>
    <w:rsid w:val="00250867"/>
    <w:rsid w:val="002541B2"/>
    <w:rsid w:val="00254D8F"/>
    <w:rsid w:val="002570D1"/>
    <w:rsid w:val="002576D8"/>
    <w:rsid w:val="00260B32"/>
    <w:rsid w:val="0026115A"/>
    <w:rsid w:val="002616E6"/>
    <w:rsid w:val="00261A7E"/>
    <w:rsid w:val="00261EC0"/>
    <w:rsid w:val="002633FD"/>
    <w:rsid w:val="00264572"/>
    <w:rsid w:val="002653F4"/>
    <w:rsid w:val="00266096"/>
    <w:rsid w:val="00266112"/>
    <w:rsid w:val="002666E2"/>
    <w:rsid w:val="002677B9"/>
    <w:rsid w:val="0026786E"/>
    <w:rsid w:val="00271365"/>
    <w:rsid w:val="00271C72"/>
    <w:rsid w:val="0027320A"/>
    <w:rsid w:val="002738CF"/>
    <w:rsid w:val="00274D21"/>
    <w:rsid w:val="00275942"/>
    <w:rsid w:val="00275D89"/>
    <w:rsid w:val="00275E1E"/>
    <w:rsid w:val="00276812"/>
    <w:rsid w:val="00277945"/>
    <w:rsid w:val="00277FE1"/>
    <w:rsid w:val="002802F3"/>
    <w:rsid w:val="002842C3"/>
    <w:rsid w:val="0028456C"/>
    <w:rsid w:val="0028484B"/>
    <w:rsid w:val="0028692A"/>
    <w:rsid w:val="0029073C"/>
    <w:rsid w:val="00291BC1"/>
    <w:rsid w:val="00292422"/>
    <w:rsid w:val="00292CD5"/>
    <w:rsid w:val="002944A8"/>
    <w:rsid w:val="00295672"/>
    <w:rsid w:val="00296588"/>
    <w:rsid w:val="00296CBB"/>
    <w:rsid w:val="0029765F"/>
    <w:rsid w:val="002A2353"/>
    <w:rsid w:val="002A2780"/>
    <w:rsid w:val="002A34DF"/>
    <w:rsid w:val="002A3783"/>
    <w:rsid w:val="002A7F91"/>
    <w:rsid w:val="002B09DE"/>
    <w:rsid w:val="002B0D0B"/>
    <w:rsid w:val="002B1BA0"/>
    <w:rsid w:val="002B339C"/>
    <w:rsid w:val="002B3FD2"/>
    <w:rsid w:val="002B5CE9"/>
    <w:rsid w:val="002B67E6"/>
    <w:rsid w:val="002B6F97"/>
    <w:rsid w:val="002C0756"/>
    <w:rsid w:val="002C0793"/>
    <w:rsid w:val="002C1A77"/>
    <w:rsid w:val="002C1D50"/>
    <w:rsid w:val="002C2B95"/>
    <w:rsid w:val="002C3654"/>
    <w:rsid w:val="002C3F0C"/>
    <w:rsid w:val="002C428D"/>
    <w:rsid w:val="002C5124"/>
    <w:rsid w:val="002C567B"/>
    <w:rsid w:val="002C743A"/>
    <w:rsid w:val="002D0CA7"/>
    <w:rsid w:val="002D15E8"/>
    <w:rsid w:val="002D3CF4"/>
    <w:rsid w:val="002D5EEB"/>
    <w:rsid w:val="002E017C"/>
    <w:rsid w:val="002E0203"/>
    <w:rsid w:val="002E1152"/>
    <w:rsid w:val="002E1E27"/>
    <w:rsid w:val="002E460B"/>
    <w:rsid w:val="002E7C59"/>
    <w:rsid w:val="002F1223"/>
    <w:rsid w:val="002F2E92"/>
    <w:rsid w:val="002F33A7"/>
    <w:rsid w:val="002F5C30"/>
    <w:rsid w:val="002F5EB1"/>
    <w:rsid w:val="002F6AD5"/>
    <w:rsid w:val="002F6FD9"/>
    <w:rsid w:val="00303FB6"/>
    <w:rsid w:val="00306835"/>
    <w:rsid w:val="00306B83"/>
    <w:rsid w:val="00306FC4"/>
    <w:rsid w:val="00307C2C"/>
    <w:rsid w:val="003122A7"/>
    <w:rsid w:val="003122D4"/>
    <w:rsid w:val="00313025"/>
    <w:rsid w:val="00313591"/>
    <w:rsid w:val="0031770D"/>
    <w:rsid w:val="00317A49"/>
    <w:rsid w:val="00320F66"/>
    <w:rsid w:val="00321068"/>
    <w:rsid w:val="00323528"/>
    <w:rsid w:val="003239D3"/>
    <w:rsid w:val="003248A8"/>
    <w:rsid w:val="00330012"/>
    <w:rsid w:val="00330034"/>
    <w:rsid w:val="003338BF"/>
    <w:rsid w:val="00335474"/>
    <w:rsid w:val="003372E4"/>
    <w:rsid w:val="00337C80"/>
    <w:rsid w:val="00347A2F"/>
    <w:rsid w:val="00350106"/>
    <w:rsid w:val="003505AD"/>
    <w:rsid w:val="00351C19"/>
    <w:rsid w:val="003560D6"/>
    <w:rsid w:val="00356140"/>
    <w:rsid w:val="00357091"/>
    <w:rsid w:val="003604B2"/>
    <w:rsid w:val="00362FDD"/>
    <w:rsid w:val="0036507A"/>
    <w:rsid w:val="003651D9"/>
    <w:rsid w:val="003660A8"/>
    <w:rsid w:val="003702B6"/>
    <w:rsid w:val="00370E47"/>
    <w:rsid w:val="0037138F"/>
    <w:rsid w:val="0037155D"/>
    <w:rsid w:val="00371754"/>
    <w:rsid w:val="003727A4"/>
    <w:rsid w:val="003730BC"/>
    <w:rsid w:val="0037327A"/>
    <w:rsid w:val="003733F5"/>
    <w:rsid w:val="00376DC4"/>
    <w:rsid w:val="0038064E"/>
    <w:rsid w:val="00380A7F"/>
    <w:rsid w:val="00381C59"/>
    <w:rsid w:val="003828F8"/>
    <w:rsid w:val="003834A4"/>
    <w:rsid w:val="00383A9B"/>
    <w:rsid w:val="00384473"/>
    <w:rsid w:val="003845E5"/>
    <w:rsid w:val="0038478C"/>
    <w:rsid w:val="0038595B"/>
    <w:rsid w:val="00385B22"/>
    <w:rsid w:val="0038619E"/>
    <w:rsid w:val="003863CD"/>
    <w:rsid w:val="003865BA"/>
    <w:rsid w:val="00386823"/>
    <w:rsid w:val="003870A5"/>
    <w:rsid w:val="003873F4"/>
    <w:rsid w:val="003874F3"/>
    <w:rsid w:val="00390B8D"/>
    <w:rsid w:val="00390D35"/>
    <w:rsid w:val="00390FC4"/>
    <w:rsid w:val="003917A9"/>
    <w:rsid w:val="00391BC9"/>
    <w:rsid w:val="003930F4"/>
    <w:rsid w:val="00393D8B"/>
    <w:rsid w:val="00396018"/>
    <w:rsid w:val="003A2263"/>
    <w:rsid w:val="003A34F3"/>
    <w:rsid w:val="003A4CC0"/>
    <w:rsid w:val="003A54EB"/>
    <w:rsid w:val="003A60A3"/>
    <w:rsid w:val="003A7964"/>
    <w:rsid w:val="003B2B8A"/>
    <w:rsid w:val="003B489D"/>
    <w:rsid w:val="003B4FE7"/>
    <w:rsid w:val="003B6F29"/>
    <w:rsid w:val="003B7C1C"/>
    <w:rsid w:val="003C299E"/>
    <w:rsid w:val="003C7B32"/>
    <w:rsid w:val="003D100F"/>
    <w:rsid w:val="003D1392"/>
    <w:rsid w:val="003D178B"/>
    <w:rsid w:val="003D5C5F"/>
    <w:rsid w:val="003D63D2"/>
    <w:rsid w:val="003D679E"/>
    <w:rsid w:val="003D6E96"/>
    <w:rsid w:val="003E016E"/>
    <w:rsid w:val="003E0186"/>
    <w:rsid w:val="003E0349"/>
    <w:rsid w:val="003E3818"/>
    <w:rsid w:val="003E40C0"/>
    <w:rsid w:val="003E51D1"/>
    <w:rsid w:val="003E54BC"/>
    <w:rsid w:val="003E5B54"/>
    <w:rsid w:val="003F1737"/>
    <w:rsid w:val="003F1BDA"/>
    <w:rsid w:val="003F1C80"/>
    <w:rsid w:val="003F202C"/>
    <w:rsid w:val="003F2207"/>
    <w:rsid w:val="003F2A10"/>
    <w:rsid w:val="003F73E6"/>
    <w:rsid w:val="003F7D3E"/>
    <w:rsid w:val="003F7EBB"/>
    <w:rsid w:val="004001BA"/>
    <w:rsid w:val="00400288"/>
    <w:rsid w:val="00400DF4"/>
    <w:rsid w:val="00401698"/>
    <w:rsid w:val="004021C9"/>
    <w:rsid w:val="0040346E"/>
    <w:rsid w:val="0040352A"/>
    <w:rsid w:val="004040B4"/>
    <w:rsid w:val="004066E0"/>
    <w:rsid w:val="00407B16"/>
    <w:rsid w:val="00410A93"/>
    <w:rsid w:val="00411311"/>
    <w:rsid w:val="0041132B"/>
    <w:rsid w:val="00411B0C"/>
    <w:rsid w:val="00412EBC"/>
    <w:rsid w:val="0041560B"/>
    <w:rsid w:val="00415873"/>
    <w:rsid w:val="004161BD"/>
    <w:rsid w:val="00417059"/>
    <w:rsid w:val="00420690"/>
    <w:rsid w:val="004218C5"/>
    <w:rsid w:val="00421ADB"/>
    <w:rsid w:val="00421B93"/>
    <w:rsid w:val="0042375A"/>
    <w:rsid w:val="00423C11"/>
    <w:rsid w:val="00424D30"/>
    <w:rsid w:val="0042654B"/>
    <w:rsid w:val="0042696F"/>
    <w:rsid w:val="00427D0A"/>
    <w:rsid w:val="00435C8F"/>
    <w:rsid w:val="00436CB3"/>
    <w:rsid w:val="00437825"/>
    <w:rsid w:val="004378F3"/>
    <w:rsid w:val="004379D4"/>
    <w:rsid w:val="00437ECE"/>
    <w:rsid w:val="00440A1E"/>
    <w:rsid w:val="004410A9"/>
    <w:rsid w:val="004434B1"/>
    <w:rsid w:val="00445576"/>
    <w:rsid w:val="004461CF"/>
    <w:rsid w:val="004463B0"/>
    <w:rsid w:val="0044652E"/>
    <w:rsid w:val="004468E2"/>
    <w:rsid w:val="00447533"/>
    <w:rsid w:val="00447638"/>
    <w:rsid w:val="00451180"/>
    <w:rsid w:val="00455966"/>
    <w:rsid w:val="00461289"/>
    <w:rsid w:val="004620A1"/>
    <w:rsid w:val="00462432"/>
    <w:rsid w:val="00462506"/>
    <w:rsid w:val="004632EB"/>
    <w:rsid w:val="00464FF3"/>
    <w:rsid w:val="00466028"/>
    <w:rsid w:val="004669C2"/>
    <w:rsid w:val="004673EF"/>
    <w:rsid w:val="00470205"/>
    <w:rsid w:val="00470234"/>
    <w:rsid w:val="00470B69"/>
    <w:rsid w:val="0047115B"/>
    <w:rsid w:val="00473972"/>
    <w:rsid w:val="00475625"/>
    <w:rsid w:val="004761A9"/>
    <w:rsid w:val="0047707F"/>
    <w:rsid w:val="0047775B"/>
    <w:rsid w:val="004807B7"/>
    <w:rsid w:val="00484723"/>
    <w:rsid w:val="004855DC"/>
    <w:rsid w:val="0048601E"/>
    <w:rsid w:val="0048613F"/>
    <w:rsid w:val="0048671E"/>
    <w:rsid w:val="00486E5B"/>
    <w:rsid w:val="004870A8"/>
    <w:rsid w:val="00487755"/>
    <w:rsid w:val="00491815"/>
    <w:rsid w:val="004918B4"/>
    <w:rsid w:val="00492439"/>
    <w:rsid w:val="004951CF"/>
    <w:rsid w:val="0049640F"/>
    <w:rsid w:val="004974B9"/>
    <w:rsid w:val="00497FDF"/>
    <w:rsid w:val="004A04AE"/>
    <w:rsid w:val="004A06A1"/>
    <w:rsid w:val="004A1E76"/>
    <w:rsid w:val="004A327E"/>
    <w:rsid w:val="004A539D"/>
    <w:rsid w:val="004A68EB"/>
    <w:rsid w:val="004B1254"/>
    <w:rsid w:val="004B228C"/>
    <w:rsid w:val="004B3181"/>
    <w:rsid w:val="004B4E95"/>
    <w:rsid w:val="004B508A"/>
    <w:rsid w:val="004B5D5B"/>
    <w:rsid w:val="004B723D"/>
    <w:rsid w:val="004B75D6"/>
    <w:rsid w:val="004B7845"/>
    <w:rsid w:val="004C0183"/>
    <w:rsid w:val="004C096F"/>
    <w:rsid w:val="004C0E11"/>
    <w:rsid w:val="004C319A"/>
    <w:rsid w:val="004C42AB"/>
    <w:rsid w:val="004C497A"/>
    <w:rsid w:val="004C5DDB"/>
    <w:rsid w:val="004C6A23"/>
    <w:rsid w:val="004C7995"/>
    <w:rsid w:val="004D05F4"/>
    <w:rsid w:val="004D0CFA"/>
    <w:rsid w:val="004D2C3E"/>
    <w:rsid w:val="004D4611"/>
    <w:rsid w:val="004D4BCA"/>
    <w:rsid w:val="004D69FB"/>
    <w:rsid w:val="004E0098"/>
    <w:rsid w:val="004E049B"/>
    <w:rsid w:val="004E33B2"/>
    <w:rsid w:val="004E5E99"/>
    <w:rsid w:val="004E7365"/>
    <w:rsid w:val="004F1075"/>
    <w:rsid w:val="004F2E62"/>
    <w:rsid w:val="004F4758"/>
    <w:rsid w:val="004F5FD8"/>
    <w:rsid w:val="004F623A"/>
    <w:rsid w:val="004F6A27"/>
    <w:rsid w:val="004F7180"/>
    <w:rsid w:val="004F73CA"/>
    <w:rsid w:val="00500047"/>
    <w:rsid w:val="005017DC"/>
    <w:rsid w:val="005017E4"/>
    <w:rsid w:val="00504674"/>
    <w:rsid w:val="005052B6"/>
    <w:rsid w:val="0050635A"/>
    <w:rsid w:val="005067B5"/>
    <w:rsid w:val="00507437"/>
    <w:rsid w:val="00507815"/>
    <w:rsid w:val="00510EEA"/>
    <w:rsid w:val="00517606"/>
    <w:rsid w:val="00517876"/>
    <w:rsid w:val="00520176"/>
    <w:rsid w:val="005208C4"/>
    <w:rsid w:val="00521BF3"/>
    <w:rsid w:val="00521D17"/>
    <w:rsid w:val="005227BF"/>
    <w:rsid w:val="00522874"/>
    <w:rsid w:val="00523241"/>
    <w:rsid w:val="00523B8F"/>
    <w:rsid w:val="0052614A"/>
    <w:rsid w:val="0052758F"/>
    <w:rsid w:val="00527AC3"/>
    <w:rsid w:val="005300ED"/>
    <w:rsid w:val="00530208"/>
    <w:rsid w:val="00530D03"/>
    <w:rsid w:val="00531030"/>
    <w:rsid w:val="0053262B"/>
    <w:rsid w:val="00532EF8"/>
    <w:rsid w:val="00533030"/>
    <w:rsid w:val="00533CDF"/>
    <w:rsid w:val="00533E41"/>
    <w:rsid w:val="00534D48"/>
    <w:rsid w:val="00535795"/>
    <w:rsid w:val="005423DF"/>
    <w:rsid w:val="00542A89"/>
    <w:rsid w:val="00543DAE"/>
    <w:rsid w:val="0054409A"/>
    <w:rsid w:val="00544249"/>
    <w:rsid w:val="00544D0D"/>
    <w:rsid w:val="00545871"/>
    <w:rsid w:val="00547512"/>
    <w:rsid w:val="0054795A"/>
    <w:rsid w:val="00552E21"/>
    <w:rsid w:val="00552E72"/>
    <w:rsid w:val="00555760"/>
    <w:rsid w:val="00555FEE"/>
    <w:rsid w:val="005563B1"/>
    <w:rsid w:val="005568E2"/>
    <w:rsid w:val="005572BB"/>
    <w:rsid w:val="00557595"/>
    <w:rsid w:val="0056345A"/>
    <w:rsid w:val="005640AD"/>
    <w:rsid w:val="00564C91"/>
    <w:rsid w:val="0056666D"/>
    <w:rsid w:val="00567C37"/>
    <w:rsid w:val="00567CDD"/>
    <w:rsid w:val="005705C4"/>
    <w:rsid w:val="00570BF0"/>
    <w:rsid w:val="005714CF"/>
    <w:rsid w:val="00572ED3"/>
    <w:rsid w:val="00573327"/>
    <w:rsid w:val="00573C37"/>
    <w:rsid w:val="00574697"/>
    <w:rsid w:val="00574E36"/>
    <w:rsid w:val="005801D1"/>
    <w:rsid w:val="00582651"/>
    <w:rsid w:val="00582674"/>
    <w:rsid w:val="005841D5"/>
    <w:rsid w:val="0058587C"/>
    <w:rsid w:val="0058683C"/>
    <w:rsid w:val="0058750D"/>
    <w:rsid w:val="0058787A"/>
    <w:rsid w:val="0059112E"/>
    <w:rsid w:val="00592745"/>
    <w:rsid w:val="0059684D"/>
    <w:rsid w:val="00596E52"/>
    <w:rsid w:val="005A03F0"/>
    <w:rsid w:val="005A17CE"/>
    <w:rsid w:val="005A24CE"/>
    <w:rsid w:val="005A251A"/>
    <w:rsid w:val="005A4587"/>
    <w:rsid w:val="005A4F5A"/>
    <w:rsid w:val="005A5B98"/>
    <w:rsid w:val="005A78FF"/>
    <w:rsid w:val="005B0E8F"/>
    <w:rsid w:val="005B12E7"/>
    <w:rsid w:val="005B2A37"/>
    <w:rsid w:val="005B3DAF"/>
    <w:rsid w:val="005B3DBC"/>
    <w:rsid w:val="005B496F"/>
    <w:rsid w:val="005B5A5B"/>
    <w:rsid w:val="005B5B4B"/>
    <w:rsid w:val="005B738A"/>
    <w:rsid w:val="005B7414"/>
    <w:rsid w:val="005C022D"/>
    <w:rsid w:val="005C21B1"/>
    <w:rsid w:val="005C2424"/>
    <w:rsid w:val="005C25EB"/>
    <w:rsid w:val="005C2A33"/>
    <w:rsid w:val="005C4749"/>
    <w:rsid w:val="005C5B86"/>
    <w:rsid w:val="005C5E17"/>
    <w:rsid w:val="005C7913"/>
    <w:rsid w:val="005D147D"/>
    <w:rsid w:val="005D17B4"/>
    <w:rsid w:val="005D334B"/>
    <w:rsid w:val="005D49F1"/>
    <w:rsid w:val="005D6F58"/>
    <w:rsid w:val="005D77AA"/>
    <w:rsid w:val="005E0141"/>
    <w:rsid w:val="005E44B7"/>
    <w:rsid w:val="005E52EF"/>
    <w:rsid w:val="005E603E"/>
    <w:rsid w:val="005E668C"/>
    <w:rsid w:val="005E6D81"/>
    <w:rsid w:val="005F4341"/>
    <w:rsid w:val="005F6282"/>
    <w:rsid w:val="005F7664"/>
    <w:rsid w:val="005F7D3D"/>
    <w:rsid w:val="006003B0"/>
    <w:rsid w:val="006014AA"/>
    <w:rsid w:val="00601885"/>
    <w:rsid w:val="00603251"/>
    <w:rsid w:val="006043ED"/>
    <w:rsid w:val="00605B32"/>
    <w:rsid w:val="00606361"/>
    <w:rsid w:val="0060708A"/>
    <w:rsid w:val="00607C3D"/>
    <w:rsid w:val="00611E3B"/>
    <w:rsid w:val="006146C3"/>
    <w:rsid w:val="00615836"/>
    <w:rsid w:val="00616735"/>
    <w:rsid w:val="006172CE"/>
    <w:rsid w:val="00622517"/>
    <w:rsid w:val="00623B13"/>
    <w:rsid w:val="00623DEE"/>
    <w:rsid w:val="00624843"/>
    <w:rsid w:val="00625B0B"/>
    <w:rsid w:val="00626633"/>
    <w:rsid w:val="00627A5B"/>
    <w:rsid w:val="0063077D"/>
    <w:rsid w:val="0063294F"/>
    <w:rsid w:val="00634058"/>
    <w:rsid w:val="00636256"/>
    <w:rsid w:val="0064128B"/>
    <w:rsid w:val="006416B5"/>
    <w:rsid w:val="00641E0C"/>
    <w:rsid w:val="00643033"/>
    <w:rsid w:val="006449C4"/>
    <w:rsid w:val="00646A57"/>
    <w:rsid w:val="00646BE6"/>
    <w:rsid w:val="00647881"/>
    <w:rsid w:val="00647F8B"/>
    <w:rsid w:val="0065009F"/>
    <w:rsid w:val="00650AFD"/>
    <w:rsid w:val="00653C76"/>
    <w:rsid w:val="00653CB1"/>
    <w:rsid w:val="00656362"/>
    <w:rsid w:val="00656495"/>
    <w:rsid w:val="00657156"/>
    <w:rsid w:val="00657FBB"/>
    <w:rsid w:val="006603B3"/>
    <w:rsid w:val="00661EF4"/>
    <w:rsid w:val="00662727"/>
    <w:rsid w:val="006629E5"/>
    <w:rsid w:val="006639C6"/>
    <w:rsid w:val="00664685"/>
    <w:rsid w:val="0066750F"/>
    <w:rsid w:val="00667F48"/>
    <w:rsid w:val="00670E85"/>
    <w:rsid w:val="006736B1"/>
    <w:rsid w:val="006750F6"/>
    <w:rsid w:val="006751AD"/>
    <w:rsid w:val="00675861"/>
    <w:rsid w:val="0067787A"/>
    <w:rsid w:val="0068343A"/>
    <w:rsid w:val="00685258"/>
    <w:rsid w:val="00685987"/>
    <w:rsid w:val="006868F8"/>
    <w:rsid w:val="00687A7E"/>
    <w:rsid w:val="00687D99"/>
    <w:rsid w:val="00692208"/>
    <w:rsid w:val="0069349B"/>
    <w:rsid w:val="00693D7F"/>
    <w:rsid w:val="00694155"/>
    <w:rsid w:val="00695028"/>
    <w:rsid w:val="006973CD"/>
    <w:rsid w:val="00697454"/>
    <w:rsid w:val="006A14D1"/>
    <w:rsid w:val="006A27F2"/>
    <w:rsid w:val="006A28BA"/>
    <w:rsid w:val="006A2DBE"/>
    <w:rsid w:val="006A377E"/>
    <w:rsid w:val="006A5EFC"/>
    <w:rsid w:val="006A6D0B"/>
    <w:rsid w:val="006B00EB"/>
    <w:rsid w:val="006B0B67"/>
    <w:rsid w:val="006B1521"/>
    <w:rsid w:val="006B203E"/>
    <w:rsid w:val="006B2649"/>
    <w:rsid w:val="006B3680"/>
    <w:rsid w:val="006B3BE0"/>
    <w:rsid w:val="006B4658"/>
    <w:rsid w:val="006B49A4"/>
    <w:rsid w:val="006B505B"/>
    <w:rsid w:val="006B51B1"/>
    <w:rsid w:val="006B5EE2"/>
    <w:rsid w:val="006B6405"/>
    <w:rsid w:val="006B66C2"/>
    <w:rsid w:val="006C0B91"/>
    <w:rsid w:val="006C1307"/>
    <w:rsid w:val="006C2A39"/>
    <w:rsid w:val="006C3618"/>
    <w:rsid w:val="006C3C58"/>
    <w:rsid w:val="006C3F90"/>
    <w:rsid w:val="006C4B47"/>
    <w:rsid w:val="006C612F"/>
    <w:rsid w:val="006C6923"/>
    <w:rsid w:val="006D0D55"/>
    <w:rsid w:val="006D1087"/>
    <w:rsid w:val="006D16F0"/>
    <w:rsid w:val="006D392E"/>
    <w:rsid w:val="006D61DA"/>
    <w:rsid w:val="006E0C36"/>
    <w:rsid w:val="006E317B"/>
    <w:rsid w:val="006E332D"/>
    <w:rsid w:val="006E349C"/>
    <w:rsid w:val="006E4948"/>
    <w:rsid w:val="006E6ABB"/>
    <w:rsid w:val="006E6EC1"/>
    <w:rsid w:val="006F01B2"/>
    <w:rsid w:val="006F033E"/>
    <w:rsid w:val="006F0532"/>
    <w:rsid w:val="006F128D"/>
    <w:rsid w:val="006F154B"/>
    <w:rsid w:val="006F26BC"/>
    <w:rsid w:val="006F34D7"/>
    <w:rsid w:val="006F41A1"/>
    <w:rsid w:val="006F4C27"/>
    <w:rsid w:val="006F5154"/>
    <w:rsid w:val="006F62BE"/>
    <w:rsid w:val="006F663E"/>
    <w:rsid w:val="00702F92"/>
    <w:rsid w:val="00703478"/>
    <w:rsid w:val="00703772"/>
    <w:rsid w:val="007037F9"/>
    <w:rsid w:val="007073BF"/>
    <w:rsid w:val="0071085B"/>
    <w:rsid w:val="00711B48"/>
    <w:rsid w:val="00712B7F"/>
    <w:rsid w:val="00713078"/>
    <w:rsid w:val="00713705"/>
    <w:rsid w:val="00717092"/>
    <w:rsid w:val="0071771D"/>
    <w:rsid w:val="00717A63"/>
    <w:rsid w:val="00717B25"/>
    <w:rsid w:val="00717E0F"/>
    <w:rsid w:val="00720935"/>
    <w:rsid w:val="00720B2A"/>
    <w:rsid w:val="007228F4"/>
    <w:rsid w:val="007234B1"/>
    <w:rsid w:val="00724EFB"/>
    <w:rsid w:val="007255E5"/>
    <w:rsid w:val="00725DD0"/>
    <w:rsid w:val="007274E3"/>
    <w:rsid w:val="0072759D"/>
    <w:rsid w:val="00727D8D"/>
    <w:rsid w:val="0073091C"/>
    <w:rsid w:val="00731563"/>
    <w:rsid w:val="0073198B"/>
    <w:rsid w:val="00731B68"/>
    <w:rsid w:val="007322ED"/>
    <w:rsid w:val="00732577"/>
    <w:rsid w:val="00732D07"/>
    <w:rsid w:val="007330A6"/>
    <w:rsid w:val="00733E3A"/>
    <w:rsid w:val="00733F62"/>
    <w:rsid w:val="00734242"/>
    <w:rsid w:val="00735C38"/>
    <w:rsid w:val="00737AC0"/>
    <w:rsid w:val="00737F59"/>
    <w:rsid w:val="0074084E"/>
    <w:rsid w:val="00741849"/>
    <w:rsid w:val="007419BD"/>
    <w:rsid w:val="007423DA"/>
    <w:rsid w:val="0074469D"/>
    <w:rsid w:val="00744F66"/>
    <w:rsid w:val="007457DA"/>
    <w:rsid w:val="00745EF5"/>
    <w:rsid w:val="00746D9B"/>
    <w:rsid w:val="00753C81"/>
    <w:rsid w:val="007563E9"/>
    <w:rsid w:val="0075651B"/>
    <w:rsid w:val="00761F78"/>
    <w:rsid w:val="0076461C"/>
    <w:rsid w:val="00764649"/>
    <w:rsid w:val="007665EC"/>
    <w:rsid w:val="00766899"/>
    <w:rsid w:val="00767DE6"/>
    <w:rsid w:val="00772184"/>
    <w:rsid w:val="00772BF0"/>
    <w:rsid w:val="00774D08"/>
    <w:rsid w:val="00775CA3"/>
    <w:rsid w:val="00775FFA"/>
    <w:rsid w:val="007764A7"/>
    <w:rsid w:val="007811B4"/>
    <w:rsid w:val="00783733"/>
    <w:rsid w:val="007838DF"/>
    <w:rsid w:val="0078570E"/>
    <w:rsid w:val="00785C24"/>
    <w:rsid w:val="00787FC4"/>
    <w:rsid w:val="007904BC"/>
    <w:rsid w:val="00793BE7"/>
    <w:rsid w:val="00794574"/>
    <w:rsid w:val="00794581"/>
    <w:rsid w:val="007949F1"/>
    <w:rsid w:val="00794A52"/>
    <w:rsid w:val="007974F4"/>
    <w:rsid w:val="007A142A"/>
    <w:rsid w:val="007A2445"/>
    <w:rsid w:val="007A52FE"/>
    <w:rsid w:val="007B0B3E"/>
    <w:rsid w:val="007B2B30"/>
    <w:rsid w:val="007B5F03"/>
    <w:rsid w:val="007B6290"/>
    <w:rsid w:val="007B62EC"/>
    <w:rsid w:val="007B66CF"/>
    <w:rsid w:val="007B6D9A"/>
    <w:rsid w:val="007C0548"/>
    <w:rsid w:val="007C10AA"/>
    <w:rsid w:val="007C2621"/>
    <w:rsid w:val="007C4571"/>
    <w:rsid w:val="007C4A53"/>
    <w:rsid w:val="007C5302"/>
    <w:rsid w:val="007C7206"/>
    <w:rsid w:val="007D019D"/>
    <w:rsid w:val="007D18EE"/>
    <w:rsid w:val="007E05C5"/>
    <w:rsid w:val="007E0A76"/>
    <w:rsid w:val="007E1336"/>
    <w:rsid w:val="007E1E32"/>
    <w:rsid w:val="007E24CF"/>
    <w:rsid w:val="007E366F"/>
    <w:rsid w:val="007E51C2"/>
    <w:rsid w:val="007E67F3"/>
    <w:rsid w:val="007E6900"/>
    <w:rsid w:val="007E6A7C"/>
    <w:rsid w:val="007E7BAB"/>
    <w:rsid w:val="007F111A"/>
    <w:rsid w:val="007F5669"/>
    <w:rsid w:val="007F5C82"/>
    <w:rsid w:val="007F637A"/>
    <w:rsid w:val="007F7144"/>
    <w:rsid w:val="007F76F1"/>
    <w:rsid w:val="0080026E"/>
    <w:rsid w:val="00802566"/>
    <w:rsid w:val="00802E86"/>
    <w:rsid w:val="008038D6"/>
    <w:rsid w:val="00803B1A"/>
    <w:rsid w:val="00804FE0"/>
    <w:rsid w:val="008064B0"/>
    <w:rsid w:val="008076C6"/>
    <w:rsid w:val="00807AF9"/>
    <w:rsid w:val="00807F8A"/>
    <w:rsid w:val="0081213B"/>
    <w:rsid w:val="00812386"/>
    <w:rsid w:val="008126DA"/>
    <w:rsid w:val="00812877"/>
    <w:rsid w:val="0081374B"/>
    <w:rsid w:val="00814028"/>
    <w:rsid w:val="00815807"/>
    <w:rsid w:val="0081771F"/>
    <w:rsid w:val="00817D6B"/>
    <w:rsid w:val="008203D5"/>
    <w:rsid w:val="008203E8"/>
    <w:rsid w:val="00821873"/>
    <w:rsid w:val="0082222E"/>
    <w:rsid w:val="00823000"/>
    <w:rsid w:val="00823151"/>
    <w:rsid w:val="008234D2"/>
    <w:rsid w:val="0082452A"/>
    <w:rsid w:val="0082473B"/>
    <w:rsid w:val="00825124"/>
    <w:rsid w:val="008256B3"/>
    <w:rsid w:val="00826C34"/>
    <w:rsid w:val="00826F1C"/>
    <w:rsid w:val="008305FF"/>
    <w:rsid w:val="00831061"/>
    <w:rsid w:val="00831463"/>
    <w:rsid w:val="00832B50"/>
    <w:rsid w:val="00833F4D"/>
    <w:rsid w:val="00837193"/>
    <w:rsid w:val="0084250D"/>
    <w:rsid w:val="0084521C"/>
    <w:rsid w:val="008464DC"/>
    <w:rsid w:val="008468B4"/>
    <w:rsid w:val="008502B5"/>
    <w:rsid w:val="0085062B"/>
    <w:rsid w:val="008508F6"/>
    <w:rsid w:val="00851AAD"/>
    <w:rsid w:val="0085218D"/>
    <w:rsid w:val="0085341E"/>
    <w:rsid w:val="00853695"/>
    <w:rsid w:val="008554A2"/>
    <w:rsid w:val="00855CAC"/>
    <w:rsid w:val="0085600E"/>
    <w:rsid w:val="00856A42"/>
    <w:rsid w:val="00857723"/>
    <w:rsid w:val="00861349"/>
    <w:rsid w:val="00861618"/>
    <w:rsid w:val="00861734"/>
    <w:rsid w:val="00864EC2"/>
    <w:rsid w:val="00865693"/>
    <w:rsid w:val="008659F0"/>
    <w:rsid w:val="008662DD"/>
    <w:rsid w:val="0086739A"/>
    <w:rsid w:val="00870E1C"/>
    <w:rsid w:val="00871A09"/>
    <w:rsid w:val="0087249E"/>
    <w:rsid w:val="00872E6D"/>
    <w:rsid w:val="0087400D"/>
    <w:rsid w:val="00874C4D"/>
    <w:rsid w:val="00876BBF"/>
    <w:rsid w:val="008774FC"/>
    <w:rsid w:val="008804AA"/>
    <w:rsid w:val="008853F9"/>
    <w:rsid w:val="00885DDC"/>
    <w:rsid w:val="00886C13"/>
    <w:rsid w:val="0088725A"/>
    <w:rsid w:val="008904E7"/>
    <w:rsid w:val="00890547"/>
    <w:rsid w:val="00890E1D"/>
    <w:rsid w:val="00891276"/>
    <w:rsid w:val="00894027"/>
    <w:rsid w:val="00896B60"/>
    <w:rsid w:val="008970D4"/>
    <w:rsid w:val="008973D8"/>
    <w:rsid w:val="00897D8C"/>
    <w:rsid w:val="008A020A"/>
    <w:rsid w:val="008A088E"/>
    <w:rsid w:val="008A0926"/>
    <w:rsid w:val="008A434B"/>
    <w:rsid w:val="008A529E"/>
    <w:rsid w:val="008A6B20"/>
    <w:rsid w:val="008A732A"/>
    <w:rsid w:val="008A7E75"/>
    <w:rsid w:val="008B0566"/>
    <w:rsid w:val="008B096D"/>
    <w:rsid w:val="008B0C11"/>
    <w:rsid w:val="008B0CD9"/>
    <w:rsid w:val="008B22A0"/>
    <w:rsid w:val="008B3E78"/>
    <w:rsid w:val="008B421A"/>
    <w:rsid w:val="008B44DE"/>
    <w:rsid w:val="008B4B7F"/>
    <w:rsid w:val="008B4CF3"/>
    <w:rsid w:val="008B50A5"/>
    <w:rsid w:val="008B52B0"/>
    <w:rsid w:val="008B5689"/>
    <w:rsid w:val="008B70D2"/>
    <w:rsid w:val="008B71DA"/>
    <w:rsid w:val="008C0D17"/>
    <w:rsid w:val="008C1250"/>
    <w:rsid w:val="008C1570"/>
    <w:rsid w:val="008C2F5D"/>
    <w:rsid w:val="008C302E"/>
    <w:rsid w:val="008C3CEC"/>
    <w:rsid w:val="008C5357"/>
    <w:rsid w:val="008C672B"/>
    <w:rsid w:val="008C74A4"/>
    <w:rsid w:val="008C7B8C"/>
    <w:rsid w:val="008D2921"/>
    <w:rsid w:val="008D2E1E"/>
    <w:rsid w:val="008D315C"/>
    <w:rsid w:val="008D3824"/>
    <w:rsid w:val="008D5556"/>
    <w:rsid w:val="008D6102"/>
    <w:rsid w:val="008D615B"/>
    <w:rsid w:val="008D62CA"/>
    <w:rsid w:val="008D7946"/>
    <w:rsid w:val="008E0A07"/>
    <w:rsid w:val="008E186F"/>
    <w:rsid w:val="008E18BB"/>
    <w:rsid w:val="008E197F"/>
    <w:rsid w:val="008E2669"/>
    <w:rsid w:val="008E40B1"/>
    <w:rsid w:val="008E5016"/>
    <w:rsid w:val="008E55F8"/>
    <w:rsid w:val="008E5D4E"/>
    <w:rsid w:val="008E6443"/>
    <w:rsid w:val="008E7718"/>
    <w:rsid w:val="008F237A"/>
    <w:rsid w:val="008F2637"/>
    <w:rsid w:val="008F27D7"/>
    <w:rsid w:val="008F3996"/>
    <w:rsid w:val="008F4DD2"/>
    <w:rsid w:val="008F4F35"/>
    <w:rsid w:val="008F5123"/>
    <w:rsid w:val="008F522A"/>
    <w:rsid w:val="008F59EF"/>
    <w:rsid w:val="008F61BD"/>
    <w:rsid w:val="00900427"/>
    <w:rsid w:val="00901586"/>
    <w:rsid w:val="00901D61"/>
    <w:rsid w:val="00902337"/>
    <w:rsid w:val="00905A21"/>
    <w:rsid w:val="00906ADB"/>
    <w:rsid w:val="009112DF"/>
    <w:rsid w:val="0091213C"/>
    <w:rsid w:val="00912FE1"/>
    <w:rsid w:val="009149A6"/>
    <w:rsid w:val="00915115"/>
    <w:rsid w:val="00916832"/>
    <w:rsid w:val="00917D55"/>
    <w:rsid w:val="009236D9"/>
    <w:rsid w:val="0092390E"/>
    <w:rsid w:val="00923E31"/>
    <w:rsid w:val="009249CF"/>
    <w:rsid w:val="0092590A"/>
    <w:rsid w:val="0092638C"/>
    <w:rsid w:val="009277C4"/>
    <w:rsid w:val="00931834"/>
    <w:rsid w:val="00931BEF"/>
    <w:rsid w:val="00931CE1"/>
    <w:rsid w:val="00933AE5"/>
    <w:rsid w:val="00936B0F"/>
    <w:rsid w:val="00936C45"/>
    <w:rsid w:val="0093702F"/>
    <w:rsid w:val="0093743E"/>
    <w:rsid w:val="00940ABC"/>
    <w:rsid w:val="0094483F"/>
    <w:rsid w:val="009452DB"/>
    <w:rsid w:val="009477B6"/>
    <w:rsid w:val="009479E8"/>
    <w:rsid w:val="00951FA1"/>
    <w:rsid w:val="009528EE"/>
    <w:rsid w:val="00953757"/>
    <w:rsid w:val="00955A6E"/>
    <w:rsid w:val="00957602"/>
    <w:rsid w:val="00963DC1"/>
    <w:rsid w:val="00963E19"/>
    <w:rsid w:val="00964BD5"/>
    <w:rsid w:val="00965D63"/>
    <w:rsid w:val="009666AD"/>
    <w:rsid w:val="0096720E"/>
    <w:rsid w:val="00971B98"/>
    <w:rsid w:val="00973165"/>
    <w:rsid w:val="00973299"/>
    <w:rsid w:val="00973F93"/>
    <w:rsid w:val="00975115"/>
    <w:rsid w:val="00976D9E"/>
    <w:rsid w:val="00977A07"/>
    <w:rsid w:val="00977F58"/>
    <w:rsid w:val="0098001F"/>
    <w:rsid w:val="00981E85"/>
    <w:rsid w:val="00984265"/>
    <w:rsid w:val="0098499E"/>
    <w:rsid w:val="00984F15"/>
    <w:rsid w:val="009854EF"/>
    <w:rsid w:val="00985812"/>
    <w:rsid w:val="009858A5"/>
    <w:rsid w:val="00986469"/>
    <w:rsid w:val="00986E6A"/>
    <w:rsid w:val="0098798A"/>
    <w:rsid w:val="00991AF4"/>
    <w:rsid w:val="00992AE7"/>
    <w:rsid w:val="009933A0"/>
    <w:rsid w:val="009939DE"/>
    <w:rsid w:val="009946C5"/>
    <w:rsid w:val="00997E92"/>
    <w:rsid w:val="009A1846"/>
    <w:rsid w:val="009A4F02"/>
    <w:rsid w:val="009A7166"/>
    <w:rsid w:val="009B0213"/>
    <w:rsid w:val="009B20BA"/>
    <w:rsid w:val="009B29B1"/>
    <w:rsid w:val="009B32EF"/>
    <w:rsid w:val="009B3437"/>
    <w:rsid w:val="009B3A85"/>
    <w:rsid w:val="009B45CA"/>
    <w:rsid w:val="009B67BD"/>
    <w:rsid w:val="009B6E12"/>
    <w:rsid w:val="009C2180"/>
    <w:rsid w:val="009C3BF6"/>
    <w:rsid w:val="009C4330"/>
    <w:rsid w:val="009C5287"/>
    <w:rsid w:val="009C6B33"/>
    <w:rsid w:val="009C6D81"/>
    <w:rsid w:val="009C72BC"/>
    <w:rsid w:val="009C7AD0"/>
    <w:rsid w:val="009D1D94"/>
    <w:rsid w:val="009D2665"/>
    <w:rsid w:val="009D47BC"/>
    <w:rsid w:val="009D6B6C"/>
    <w:rsid w:val="009D6CF7"/>
    <w:rsid w:val="009D75D6"/>
    <w:rsid w:val="009E0F86"/>
    <w:rsid w:val="009E1924"/>
    <w:rsid w:val="009E4152"/>
    <w:rsid w:val="009E5820"/>
    <w:rsid w:val="009E5C62"/>
    <w:rsid w:val="009E6096"/>
    <w:rsid w:val="009F0236"/>
    <w:rsid w:val="009F1DD9"/>
    <w:rsid w:val="009F30A5"/>
    <w:rsid w:val="009F43B8"/>
    <w:rsid w:val="009F59B6"/>
    <w:rsid w:val="009F6150"/>
    <w:rsid w:val="009F681B"/>
    <w:rsid w:val="009F7068"/>
    <w:rsid w:val="00A00D56"/>
    <w:rsid w:val="00A04BAD"/>
    <w:rsid w:val="00A0520B"/>
    <w:rsid w:val="00A05354"/>
    <w:rsid w:val="00A05606"/>
    <w:rsid w:val="00A05994"/>
    <w:rsid w:val="00A05C52"/>
    <w:rsid w:val="00A05EC5"/>
    <w:rsid w:val="00A06B5F"/>
    <w:rsid w:val="00A07182"/>
    <w:rsid w:val="00A10217"/>
    <w:rsid w:val="00A138AF"/>
    <w:rsid w:val="00A15837"/>
    <w:rsid w:val="00A160DE"/>
    <w:rsid w:val="00A1646B"/>
    <w:rsid w:val="00A176A6"/>
    <w:rsid w:val="00A17B9D"/>
    <w:rsid w:val="00A2008F"/>
    <w:rsid w:val="00A2116A"/>
    <w:rsid w:val="00A211B5"/>
    <w:rsid w:val="00A212D4"/>
    <w:rsid w:val="00A236E1"/>
    <w:rsid w:val="00A23E69"/>
    <w:rsid w:val="00A24BE9"/>
    <w:rsid w:val="00A3277B"/>
    <w:rsid w:val="00A32C3A"/>
    <w:rsid w:val="00A358AE"/>
    <w:rsid w:val="00A36448"/>
    <w:rsid w:val="00A36977"/>
    <w:rsid w:val="00A41C44"/>
    <w:rsid w:val="00A43DF3"/>
    <w:rsid w:val="00A440BB"/>
    <w:rsid w:val="00A44931"/>
    <w:rsid w:val="00A518AB"/>
    <w:rsid w:val="00A52741"/>
    <w:rsid w:val="00A52B95"/>
    <w:rsid w:val="00A52F42"/>
    <w:rsid w:val="00A55607"/>
    <w:rsid w:val="00A55F40"/>
    <w:rsid w:val="00A57B6E"/>
    <w:rsid w:val="00A60D62"/>
    <w:rsid w:val="00A617B3"/>
    <w:rsid w:val="00A63AA9"/>
    <w:rsid w:val="00A644D8"/>
    <w:rsid w:val="00A64B63"/>
    <w:rsid w:val="00A64E01"/>
    <w:rsid w:val="00A6598E"/>
    <w:rsid w:val="00A66E7E"/>
    <w:rsid w:val="00A71A2F"/>
    <w:rsid w:val="00A7272B"/>
    <w:rsid w:val="00A767F2"/>
    <w:rsid w:val="00A7742E"/>
    <w:rsid w:val="00A77F8E"/>
    <w:rsid w:val="00A8081D"/>
    <w:rsid w:val="00A82F6A"/>
    <w:rsid w:val="00A83125"/>
    <w:rsid w:val="00A84120"/>
    <w:rsid w:val="00A84192"/>
    <w:rsid w:val="00A84446"/>
    <w:rsid w:val="00A85BD4"/>
    <w:rsid w:val="00A86B4D"/>
    <w:rsid w:val="00A90BC1"/>
    <w:rsid w:val="00A90CB0"/>
    <w:rsid w:val="00A92790"/>
    <w:rsid w:val="00A93B05"/>
    <w:rsid w:val="00A95C3E"/>
    <w:rsid w:val="00A96504"/>
    <w:rsid w:val="00AA1872"/>
    <w:rsid w:val="00AA2594"/>
    <w:rsid w:val="00AA4AD4"/>
    <w:rsid w:val="00AA6160"/>
    <w:rsid w:val="00AA7B15"/>
    <w:rsid w:val="00AB0F22"/>
    <w:rsid w:val="00AB11BB"/>
    <w:rsid w:val="00AB12A0"/>
    <w:rsid w:val="00AB1C6A"/>
    <w:rsid w:val="00AB252E"/>
    <w:rsid w:val="00AB2A2E"/>
    <w:rsid w:val="00AB2CC2"/>
    <w:rsid w:val="00AB3198"/>
    <w:rsid w:val="00AB381F"/>
    <w:rsid w:val="00AB3F52"/>
    <w:rsid w:val="00AB466F"/>
    <w:rsid w:val="00AB68C5"/>
    <w:rsid w:val="00AB707E"/>
    <w:rsid w:val="00AB792D"/>
    <w:rsid w:val="00AC058C"/>
    <w:rsid w:val="00AC0ECE"/>
    <w:rsid w:val="00AC1F5F"/>
    <w:rsid w:val="00AC52EB"/>
    <w:rsid w:val="00AC5C8D"/>
    <w:rsid w:val="00AC6075"/>
    <w:rsid w:val="00AC6F7B"/>
    <w:rsid w:val="00AD1D79"/>
    <w:rsid w:val="00AD22DE"/>
    <w:rsid w:val="00AD2E3B"/>
    <w:rsid w:val="00AD317A"/>
    <w:rsid w:val="00AD470D"/>
    <w:rsid w:val="00AD5CE7"/>
    <w:rsid w:val="00AE133A"/>
    <w:rsid w:val="00AE4DBB"/>
    <w:rsid w:val="00AE54A3"/>
    <w:rsid w:val="00AE79E8"/>
    <w:rsid w:val="00AF0B58"/>
    <w:rsid w:val="00AF1820"/>
    <w:rsid w:val="00AF4CD5"/>
    <w:rsid w:val="00AF5017"/>
    <w:rsid w:val="00B01CBE"/>
    <w:rsid w:val="00B03A22"/>
    <w:rsid w:val="00B04E5D"/>
    <w:rsid w:val="00B0545D"/>
    <w:rsid w:val="00B072F4"/>
    <w:rsid w:val="00B107E4"/>
    <w:rsid w:val="00B1102E"/>
    <w:rsid w:val="00B12CD0"/>
    <w:rsid w:val="00B150C8"/>
    <w:rsid w:val="00B15742"/>
    <w:rsid w:val="00B208CD"/>
    <w:rsid w:val="00B209BE"/>
    <w:rsid w:val="00B21F81"/>
    <w:rsid w:val="00B2332D"/>
    <w:rsid w:val="00B27586"/>
    <w:rsid w:val="00B30485"/>
    <w:rsid w:val="00B304D9"/>
    <w:rsid w:val="00B33191"/>
    <w:rsid w:val="00B335C5"/>
    <w:rsid w:val="00B347F7"/>
    <w:rsid w:val="00B34A7E"/>
    <w:rsid w:val="00B363FA"/>
    <w:rsid w:val="00B36C35"/>
    <w:rsid w:val="00B3766A"/>
    <w:rsid w:val="00B37E8B"/>
    <w:rsid w:val="00B4084A"/>
    <w:rsid w:val="00B4143F"/>
    <w:rsid w:val="00B42942"/>
    <w:rsid w:val="00B43ADE"/>
    <w:rsid w:val="00B44993"/>
    <w:rsid w:val="00B4502A"/>
    <w:rsid w:val="00B452E4"/>
    <w:rsid w:val="00B455A5"/>
    <w:rsid w:val="00B472E3"/>
    <w:rsid w:val="00B47455"/>
    <w:rsid w:val="00B51698"/>
    <w:rsid w:val="00B5190C"/>
    <w:rsid w:val="00B51D45"/>
    <w:rsid w:val="00B51E4B"/>
    <w:rsid w:val="00B53625"/>
    <w:rsid w:val="00B5430F"/>
    <w:rsid w:val="00B55AB7"/>
    <w:rsid w:val="00B55ABF"/>
    <w:rsid w:val="00B55DE5"/>
    <w:rsid w:val="00B61178"/>
    <w:rsid w:val="00B617DB"/>
    <w:rsid w:val="00B62148"/>
    <w:rsid w:val="00B63656"/>
    <w:rsid w:val="00B636B4"/>
    <w:rsid w:val="00B63A8D"/>
    <w:rsid w:val="00B63E31"/>
    <w:rsid w:val="00B64C1F"/>
    <w:rsid w:val="00B65590"/>
    <w:rsid w:val="00B66A4B"/>
    <w:rsid w:val="00B705C8"/>
    <w:rsid w:val="00B70CF0"/>
    <w:rsid w:val="00B71147"/>
    <w:rsid w:val="00B71C7E"/>
    <w:rsid w:val="00B74633"/>
    <w:rsid w:val="00B74ACE"/>
    <w:rsid w:val="00B75318"/>
    <w:rsid w:val="00B76627"/>
    <w:rsid w:val="00B8016D"/>
    <w:rsid w:val="00B81924"/>
    <w:rsid w:val="00B82F39"/>
    <w:rsid w:val="00B8515D"/>
    <w:rsid w:val="00B85634"/>
    <w:rsid w:val="00B85AF0"/>
    <w:rsid w:val="00B86A65"/>
    <w:rsid w:val="00B8723E"/>
    <w:rsid w:val="00B87F24"/>
    <w:rsid w:val="00B9194D"/>
    <w:rsid w:val="00B932EC"/>
    <w:rsid w:val="00B94380"/>
    <w:rsid w:val="00B9444E"/>
    <w:rsid w:val="00B94492"/>
    <w:rsid w:val="00B96C12"/>
    <w:rsid w:val="00B96F0C"/>
    <w:rsid w:val="00BA1A6F"/>
    <w:rsid w:val="00BA1D3A"/>
    <w:rsid w:val="00BA1E5B"/>
    <w:rsid w:val="00BA34F4"/>
    <w:rsid w:val="00BA55F0"/>
    <w:rsid w:val="00BA6243"/>
    <w:rsid w:val="00BA69F4"/>
    <w:rsid w:val="00BA6CCC"/>
    <w:rsid w:val="00BB0409"/>
    <w:rsid w:val="00BB0B14"/>
    <w:rsid w:val="00BB0B23"/>
    <w:rsid w:val="00BB187E"/>
    <w:rsid w:val="00BB3298"/>
    <w:rsid w:val="00BB5476"/>
    <w:rsid w:val="00BC17E7"/>
    <w:rsid w:val="00BC3F8D"/>
    <w:rsid w:val="00BC4499"/>
    <w:rsid w:val="00BC4917"/>
    <w:rsid w:val="00BC560B"/>
    <w:rsid w:val="00BC757A"/>
    <w:rsid w:val="00BC7AEF"/>
    <w:rsid w:val="00BC7CDF"/>
    <w:rsid w:val="00BC7FE4"/>
    <w:rsid w:val="00BD2F57"/>
    <w:rsid w:val="00BD3BF5"/>
    <w:rsid w:val="00BD46CF"/>
    <w:rsid w:val="00BD6FBD"/>
    <w:rsid w:val="00BD708A"/>
    <w:rsid w:val="00BE0BBE"/>
    <w:rsid w:val="00BE1268"/>
    <w:rsid w:val="00BE1F34"/>
    <w:rsid w:val="00BE3870"/>
    <w:rsid w:val="00BE45D7"/>
    <w:rsid w:val="00BE6936"/>
    <w:rsid w:val="00BF0F0B"/>
    <w:rsid w:val="00BF16E3"/>
    <w:rsid w:val="00BF1C8F"/>
    <w:rsid w:val="00BF3B65"/>
    <w:rsid w:val="00BF7A82"/>
    <w:rsid w:val="00C02057"/>
    <w:rsid w:val="00C02AD4"/>
    <w:rsid w:val="00C03005"/>
    <w:rsid w:val="00C03FDA"/>
    <w:rsid w:val="00C0422C"/>
    <w:rsid w:val="00C047D6"/>
    <w:rsid w:val="00C04E72"/>
    <w:rsid w:val="00C05D65"/>
    <w:rsid w:val="00C06811"/>
    <w:rsid w:val="00C10E6C"/>
    <w:rsid w:val="00C12425"/>
    <w:rsid w:val="00C129BA"/>
    <w:rsid w:val="00C15BA2"/>
    <w:rsid w:val="00C15D4F"/>
    <w:rsid w:val="00C163CE"/>
    <w:rsid w:val="00C17D77"/>
    <w:rsid w:val="00C17E39"/>
    <w:rsid w:val="00C20073"/>
    <w:rsid w:val="00C20CF9"/>
    <w:rsid w:val="00C21D4B"/>
    <w:rsid w:val="00C21E92"/>
    <w:rsid w:val="00C26102"/>
    <w:rsid w:val="00C27E61"/>
    <w:rsid w:val="00C30A78"/>
    <w:rsid w:val="00C30DFC"/>
    <w:rsid w:val="00C310F1"/>
    <w:rsid w:val="00C31E10"/>
    <w:rsid w:val="00C32DBE"/>
    <w:rsid w:val="00C37383"/>
    <w:rsid w:val="00C40593"/>
    <w:rsid w:val="00C41C62"/>
    <w:rsid w:val="00C41F4E"/>
    <w:rsid w:val="00C45863"/>
    <w:rsid w:val="00C46F74"/>
    <w:rsid w:val="00C479D1"/>
    <w:rsid w:val="00C5009C"/>
    <w:rsid w:val="00C523B6"/>
    <w:rsid w:val="00C52DC5"/>
    <w:rsid w:val="00C54147"/>
    <w:rsid w:val="00C5438B"/>
    <w:rsid w:val="00C578FD"/>
    <w:rsid w:val="00C60DEA"/>
    <w:rsid w:val="00C61476"/>
    <w:rsid w:val="00C62286"/>
    <w:rsid w:val="00C62F06"/>
    <w:rsid w:val="00C652F8"/>
    <w:rsid w:val="00C6702E"/>
    <w:rsid w:val="00C671E9"/>
    <w:rsid w:val="00C674FC"/>
    <w:rsid w:val="00C67878"/>
    <w:rsid w:val="00C700F2"/>
    <w:rsid w:val="00C7074B"/>
    <w:rsid w:val="00C711CE"/>
    <w:rsid w:val="00C7122E"/>
    <w:rsid w:val="00C7351F"/>
    <w:rsid w:val="00C73C69"/>
    <w:rsid w:val="00C7784E"/>
    <w:rsid w:val="00C77C6C"/>
    <w:rsid w:val="00C82860"/>
    <w:rsid w:val="00C82A9D"/>
    <w:rsid w:val="00C83DC2"/>
    <w:rsid w:val="00C85759"/>
    <w:rsid w:val="00C85DD4"/>
    <w:rsid w:val="00C9056F"/>
    <w:rsid w:val="00C9103D"/>
    <w:rsid w:val="00C919CA"/>
    <w:rsid w:val="00C926B3"/>
    <w:rsid w:val="00C9270C"/>
    <w:rsid w:val="00C932EA"/>
    <w:rsid w:val="00C9377A"/>
    <w:rsid w:val="00C93BFC"/>
    <w:rsid w:val="00C945FD"/>
    <w:rsid w:val="00C94B22"/>
    <w:rsid w:val="00C9721C"/>
    <w:rsid w:val="00CA1287"/>
    <w:rsid w:val="00CA2F7D"/>
    <w:rsid w:val="00CA68EC"/>
    <w:rsid w:val="00CA7021"/>
    <w:rsid w:val="00CA7321"/>
    <w:rsid w:val="00CB20E6"/>
    <w:rsid w:val="00CB5D1A"/>
    <w:rsid w:val="00CB7610"/>
    <w:rsid w:val="00CB790D"/>
    <w:rsid w:val="00CB7B0C"/>
    <w:rsid w:val="00CC0B20"/>
    <w:rsid w:val="00CC0C55"/>
    <w:rsid w:val="00CC0C73"/>
    <w:rsid w:val="00CC1ECE"/>
    <w:rsid w:val="00CC226C"/>
    <w:rsid w:val="00CC2907"/>
    <w:rsid w:val="00CC43B2"/>
    <w:rsid w:val="00CC6D34"/>
    <w:rsid w:val="00CC7DC8"/>
    <w:rsid w:val="00CD16EA"/>
    <w:rsid w:val="00CD3F97"/>
    <w:rsid w:val="00CD524E"/>
    <w:rsid w:val="00CD5F5A"/>
    <w:rsid w:val="00CD616A"/>
    <w:rsid w:val="00CD6740"/>
    <w:rsid w:val="00CE1432"/>
    <w:rsid w:val="00CE25B5"/>
    <w:rsid w:val="00CE298A"/>
    <w:rsid w:val="00CE6213"/>
    <w:rsid w:val="00CE7BB3"/>
    <w:rsid w:val="00CF133E"/>
    <w:rsid w:val="00CF3831"/>
    <w:rsid w:val="00CF60B1"/>
    <w:rsid w:val="00D02AB5"/>
    <w:rsid w:val="00D031D5"/>
    <w:rsid w:val="00D0373E"/>
    <w:rsid w:val="00D037BA"/>
    <w:rsid w:val="00D037FA"/>
    <w:rsid w:val="00D051E8"/>
    <w:rsid w:val="00D0564B"/>
    <w:rsid w:val="00D061E3"/>
    <w:rsid w:val="00D13240"/>
    <w:rsid w:val="00D136F0"/>
    <w:rsid w:val="00D136F3"/>
    <w:rsid w:val="00D153AA"/>
    <w:rsid w:val="00D1564C"/>
    <w:rsid w:val="00D15F5E"/>
    <w:rsid w:val="00D2080B"/>
    <w:rsid w:val="00D21C32"/>
    <w:rsid w:val="00D23845"/>
    <w:rsid w:val="00D25C7E"/>
    <w:rsid w:val="00D27190"/>
    <w:rsid w:val="00D272F8"/>
    <w:rsid w:val="00D32BE3"/>
    <w:rsid w:val="00D3520B"/>
    <w:rsid w:val="00D36174"/>
    <w:rsid w:val="00D365DC"/>
    <w:rsid w:val="00D3695E"/>
    <w:rsid w:val="00D36B2E"/>
    <w:rsid w:val="00D36DE3"/>
    <w:rsid w:val="00D40A8D"/>
    <w:rsid w:val="00D40EC7"/>
    <w:rsid w:val="00D413B3"/>
    <w:rsid w:val="00D42FA3"/>
    <w:rsid w:val="00D439B3"/>
    <w:rsid w:val="00D44942"/>
    <w:rsid w:val="00D4576A"/>
    <w:rsid w:val="00D466F2"/>
    <w:rsid w:val="00D46EE2"/>
    <w:rsid w:val="00D47948"/>
    <w:rsid w:val="00D47EA6"/>
    <w:rsid w:val="00D50319"/>
    <w:rsid w:val="00D51298"/>
    <w:rsid w:val="00D5196F"/>
    <w:rsid w:val="00D51CF7"/>
    <w:rsid w:val="00D535C7"/>
    <w:rsid w:val="00D55E82"/>
    <w:rsid w:val="00D55E9F"/>
    <w:rsid w:val="00D5701D"/>
    <w:rsid w:val="00D636BA"/>
    <w:rsid w:val="00D646FA"/>
    <w:rsid w:val="00D64887"/>
    <w:rsid w:val="00D65019"/>
    <w:rsid w:val="00D65380"/>
    <w:rsid w:val="00D65D6A"/>
    <w:rsid w:val="00D66CF2"/>
    <w:rsid w:val="00D7093C"/>
    <w:rsid w:val="00D70A89"/>
    <w:rsid w:val="00D72251"/>
    <w:rsid w:val="00D72448"/>
    <w:rsid w:val="00D74DF6"/>
    <w:rsid w:val="00D76189"/>
    <w:rsid w:val="00D7659F"/>
    <w:rsid w:val="00D804F8"/>
    <w:rsid w:val="00D8067D"/>
    <w:rsid w:val="00D80971"/>
    <w:rsid w:val="00D8378F"/>
    <w:rsid w:val="00D85564"/>
    <w:rsid w:val="00D85F49"/>
    <w:rsid w:val="00D861C8"/>
    <w:rsid w:val="00D8797A"/>
    <w:rsid w:val="00D879DC"/>
    <w:rsid w:val="00D87D11"/>
    <w:rsid w:val="00D914B3"/>
    <w:rsid w:val="00D93FF6"/>
    <w:rsid w:val="00D940E2"/>
    <w:rsid w:val="00D9411C"/>
    <w:rsid w:val="00D9462C"/>
    <w:rsid w:val="00D94EE0"/>
    <w:rsid w:val="00D962C7"/>
    <w:rsid w:val="00D97B54"/>
    <w:rsid w:val="00DA0645"/>
    <w:rsid w:val="00DA16D0"/>
    <w:rsid w:val="00DA2014"/>
    <w:rsid w:val="00DA384C"/>
    <w:rsid w:val="00DA3F5A"/>
    <w:rsid w:val="00DA400B"/>
    <w:rsid w:val="00DA408E"/>
    <w:rsid w:val="00DA655C"/>
    <w:rsid w:val="00DA6E7A"/>
    <w:rsid w:val="00DA715B"/>
    <w:rsid w:val="00DB444B"/>
    <w:rsid w:val="00DB6E53"/>
    <w:rsid w:val="00DC0145"/>
    <w:rsid w:val="00DC11AF"/>
    <w:rsid w:val="00DC267A"/>
    <w:rsid w:val="00DC33B5"/>
    <w:rsid w:val="00DC3B77"/>
    <w:rsid w:val="00DC5F7B"/>
    <w:rsid w:val="00DC6CF0"/>
    <w:rsid w:val="00DC6DF5"/>
    <w:rsid w:val="00DC7C43"/>
    <w:rsid w:val="00DC7E2C"/>
    <w:rsid w:val="00DD0E6B"/>
    <w:rsid w:val="00DD1AD4"/>
    <w:rsid w:val="00DD1CEA"/>
    <w:rsid w:val="00DD2425"/>
    <w:rsid w:val="00DD433D"/>
    <w:rsid w:val="00DD4B8E"/>
    <w:rsid w:val="00DD4C40"/>
    <w:rsid w:val="00DD7ADD"/>
    <w:rsid w:val="00DD7C5C"/>
    <w:rsid w:val="00DD7E49"/>
    <w:rsid w:val="00DE0E1B"/>
    <w:rsid w:val="00DE10E5"/>
    <w:rsid w:val="00DE33C2"/>
    <w:rsid w:val="00DE3521"/>
    <w:rsid w:val="00DE5697"/>
    <w:rsid w:val="00DE5F18"/>
    <w:rsid w:val="00DE64C6"/>
    <w:rsid w:val="00DF0AA7"/>
    <w:rsid w:val="00DF10C5"/>
    <w:rsid w:val="00DF1787"/>
    <w:rsid w:val="00DF26AE"/>
    <w:rsid w:val="00DF32B5"/>
    <w:rsid w:val="00DF373E"/>
    <w:rsid w:val="00DF60E0"/>
    <w:rsid w:val="00DF6548"/>
    <w:rsid w:val="00E04433"/>
    <w:rsid w:val="00E06BE7"/>
    <w:rsid w:val="00E07E47"/>
    <w:rsid w:val="00E10F09"/>
    <w:rsid w:val="00E15E93"/>
    <w:rsid w:val="00E168E6"/>
    <w:rsid w:val="00E16B54"/>
    <w:rsid w:val="00E174CB"/>
    <w:rsid w:val="00E17FD5"/>
    <w:rsid w:val="00E2018A"/>
    <w:rsid w:val="00E21517"/>
    <w:rsid w:val="00E215A4"/>
    <w:rsid w:val="00E21B18"/>
    <w:rsid w:val="00E21E6C"/>
    <w:rsid w:val="00E224F4"/>
    <w:rsid w:val="00E226F6"/>
    <w:rsid w:val="00E23CE0"/>
    <w:rsid w:val="00E24DAE"/>
    <w:rsid w:val="00E25359"/>
    <w:rsid w:val="00E253BA"/>
    <w:rsid w:val="00E2738D"/>
    <w:rsid w:val="00E30923"/>
    <w:rsid w:val="00E30FFC"/>
    <w:rsid w:val="00E34BF4"/>
    <w:rsid w:val="00E3693B"/>
    <w:rsid w:val="00E37079"/>
    <w:rsid w:val="00E409F0"/>
    <w:rsid w:val="00E44B09"/>
    <w:rsid w:val="00E44CD6"/>
    <w:rsid w:val="00E46888"/>
    <w:rsid w:val="00E47FAC"/>
    <w:rsid w:val="00E505E2"/>
    <w:rsid w:val="00E50E64"/>
    <w:rsid w:val="00E52B24"/>
    <w:rsid w:val="00E54F0A"/>
    <w:rsid w:val="00E5620C"/>
    <w:rsid w:val="00E56732"/>
    <w:rsid w:val="00E56981"/>
    <w:rsid w:val="00E56B8F"/>
    <w:rsid w:val="00E56EA0"/>
    <w:rsid w:val="00E57C55"/>
    <w:rsid w:val="00E6163D"/>
    <w:rsid w:val="00E618BF"/>
    <w:rsid w:val="00E61E93"/>
    <w:rsid w:val="00E623CD"/>
    <w:rsid w:val="00E626F6"/>
    <w:rsid w:val="00E6362A"/>
    <w:rsid w:val="00E63947"/>
    <w:rsid w:val="00E647ED"/>
    <w:rsid w:val="00E64FE3"/>
    <w:rsid w:val="00E65FFC"/>
    <w:rsid w:val="00E6623D"/>
    <w:rsid w:val="00E66F9A"/>
    <w:rsid w:val="00E7150D"/>
    <w:rsid w:val="00E727DD"/>
    <w:rsid w:val="00E73463"/>
    <w:rsid w:val="00E73618"/>
    <w:rsid w:val="00E74409"/>
    <w:rsid w:val="00E744E4"/>
    <w:rsid w:val="00E751F2"/>
    <w:rsid w:val="00E75C09"/>
    <w:rsid w:val="00E77703"/>
    <w:rsid w:val="00E77DFE"/>
    <w:rsid w:val="00E80DD4"/>
    <w:rsid w:val="00E81C7C"/>
    <w:rsid w:val="00E838AC"/>
    <w:rsid w:val="00E858DA"/>
    <w:rsid w:val="00E86879"/>
    <w:rsid w:val="00E86E1B"/>
    <w:rsid w:val="00E90F84"/>
    <w:rsid w:val="00E9405F"/>
    <w:rsid w:val="00E942CD"/>
    <w:rsid w:val="00E963B8"/>
    <w:rsid w:val="00E97696"/>
    <w:rsid w:val="00EA0DFB"/>
    <w:rsid w:val="00EA1807"/>
    <w:rsid w:val="00EA2316"/>
    <w:rsid w:val="00EA242C"/>
    <w:rsid w:val="00EA2868"/>
    <w:rsid w:val="00EA2D26"/>
    <w:rsid w:val="00EA3212"/>
    <w:rsid w:val="00EA32FA"/>
    <w:rsid w:val="00EA4811"/>
    <w:rsid w:val="00EA5581"/>
    <w:rsid w:val="00EA63AB"/>
    <w:rsid w:val="00EA6768"/>
    <w:rsid w:val="00EA67AC"/>
    <w:rsid w:val="00EA7633"/>
    <w:rsid w:val="00EB5684"/>
    <w:rsid w:val="00EB57CD"/>
    <w:rsid w:val="00EB7197"/>
    <w:rsid w:val="00EC0A87"/>
    <w:rsid w:val="00EC1061"/>
    <w:rsid w:val="00EC1109"/>
    <w:rsid w:val="00EC140D"/>
    <w:rsid w:val="00EC19B4"/>
    <w:rsid w:val="00EC315D"/>
    <w:rsid w:val="00EC3541"/>
    <w:rsid w:val="00EC3A55"/>
    <w:rsid w:val="00EC3F5F"/>
    <w:rsid w:val="00EC5511"/>
    <w:rsid w:val="00EC589D"/>
    <w:rsid w:val="00EC6FC3"/>
    <w:rsid w:val="00ED0FF1"/>
    <w:rsid w:val="00ED1AC6"/>
    <w:rsid w:val="00ED1E30"/>
    <w:rsid w:val="00ED26C4"/>
    <w:rsid w:val="00ED3736"/>
    <w:rsid w:val="00ED5965"/>
    <w:rsid w:val="00ED687D"/>
    <w:rsid w:val="00EE0D2D"/>
    <w:rsid w:val="00EE15B3"/>
    <w:rsid w:val="00EE1CF7"/>
    <w:rsid w:val="00EE2EB8"/>
    <w:rsid w:val="00EE416D"/>
    <w:rsid w:val="00EE43ED"/>
    <w:rsid w:val="00EE4762"/>
    <w:rsid w:val="00EE595A"/>
    <w:rsid w:val="00EE653F"/>
    <w:rsid w:val="00EE675A"/>
    <w:rsid w:val="00EF0493"/>
    <w:rsid w:val="00EF2EEA"/>
    <w:rsid w:val="00EF36C7"/>
    <w:rsid w:val="00EF775C"/>
    <w:rsid w:val="00F000E1"/>
    <w:rsid w:val="00F00FCB"/>
    <w:rsid w:val="00F01075"/>
    <w:rsid w:val="00F042A7"/>
    <w:rsid w:val="00F074A7"/>
    <w:rsid w:val="00F07626"/>
    <w:rsid w:val="00F076AE"/>
    <w:rsid w:val="00F10551"/>
    <w:rsid w:val="00F10C49"/>
    <w:rsid w:val="00F12DF5"/>
    <w:rsid w:val="00F1359E"/>
    <w:rsid w:val="00F13C4B"/>
    <w:rsid w:val="00F14DD9"/>
    <w:rsid w:val="00F153B4"/>
    <w:rsid w:val="00F157E4"/>
    <w:rsid w:val="00F15F11"/>
    <w:rsid w:val="00F16216"/>
    <w:rsid w:val="00F1742A"/>
    <w:rsid w:val="00F23785"/>
    <w:rsid w:val="00F23EC8"/>
    <w:rsid w:val="00F24692"/>
    <w:rsid w:val="00F255D6"/>
    <w:rsid w:val="00F25793"/>
    <w:rsid w:val="00F278B5"/>
    <w:rsid w:val="00F30A61"/>
    <w:rsid w:val="00F30F5A"/>
    <w:rsid w:val="00F312FC"/>
    <w:rsid w:val="00F32782"/>
    <w:rsid w:val="00F32EAD"/>
    <w:rsid w:val="00F33353"/>
    <w:rsid w:val="00F34BCD"/>
    <w:rsid w:val="00F34DA8"/>
    <w:rsid w:val="00F40621"/>
    <w:rsid w:val="00F41AC1"/>
    <w:rsid w:val="00F41CA4"/>
    <w:rsid w:val="00F4306F"/>
    <w:rsid w:val="00F44190"/>
    <w:rsid w:val="00F443BA"/>
    <w:rsid w:val="00F44E34"/>
    <w:rsid w:val="00F46EB5"/>
    <w:rsid w:val="00F47991"/>
    <w:rsid w:val="00F50C4E"/>
    <w:rsid w:val="00F516AA"/>
    <w:rsid w:val="00F53381"/>
    <w:rsid w:val="00F53530"/>
    <w:rsid w:val="00F54D35"/>
    <w:rsid w:val="00F564BC"/>
    <w:rsid w:val="00F566EC"/>
    <w:rsid w:val="00F56ACC"/>
    <w:rsid w:val="00F5773C"/>
    <w:rsid w:val="00F57E1E"/>
    <w:rsid w:val="00F634CC"/>
    <w:rsid w:val="00F67C26"/>
    <w:rsid w:val="00F67FA6"/>
    <w:rsid w:val="00F728DE"/>
    <w:rsid w:val="00F729CF"/>
    <w:rsid w:val="00F73B5C"/>
    <w:rsid w:val="00F740C3"/>
    <w:rsid w:val="00F7709B"/>
    <w:rsid w:val="00F77746"/>
    <w:rsid w:val="00F804FF"/>
    <w:rsid w:val="00F80672"/>
    <w:rsid w:val="00F80F5D"/>
    <w:rsid w:val="00F81B49"/>
    <w:rsid w:val="00F83557"/>
    <w:rsid w:val="00F85973"/>
    <w:rsid w:val="00F87A8C"/>
    <w:rsid w:val="00F91789"/>
    <w:rsid w:val="00F91A18"/>
    <w:rsid w:val="00F920EF"/>
    <w:rsid w:val="00F93B30"/>
    <w:rsid w:val="00F946F5"/>
    <w:rsid w:val="00F9549A"/>
    <w:rsid w:val="00F95BC9"/>
    <w:rsid w:val="00F97081"/>
    <w:rsid w:val="00FA088C"/>
    <w:rsid w:val="00FA0E0B"/>
    <w:rsid w:val="00FA23AE"/>
    <w:rsid w:val="00FA43AA"/>
    <w:rsid w:val="00FA4442"/>
    <w:rsid w:val="00FA5E49"/>
    <w:rsid w:val="00FA68C4"/>
    <w:rsid w:val="00FA76BF"/>
    <w:rsid w:val="00FA7C6C"/>
    <w:rsid w:val="00FB074C"/>
    <w:rsid w:val="00FB1754"/>
    <w:rsid w:val="00FB176C"/>
    <w:rsid w:val="00FB18A2"/>
    <w:rsid w:val="00FB2170"/>
    <w:rsid w:val="00FB2FC5"/>
    <w:rsid w:val="00FB3B0D"/>
    <w:rsid w:val="00FB656A"/>
    <w:rsid w:val="00FB6700"/>
    <w:rsid w:val="00FB6AA0"/>
    <w:rsid w:val="00FB6CCB"/>
    <w:rsid w:val="00FC0003"/>
    <w:rsid w:val="00FC0B0A"/>
    <w:rsid w:val="00FC0D0E"/>
    <w:rsid w:val="00FC2700"/>
    <w:rsid w:val="00FC2A65"/>
    <w:rsid w:val="00FC343B"/>
    <w:rsid w:val="00FC5AF2"/>
    <w:rsid w:val="00FC5BB6"/>
    <w:rsid w:val="00FC660C"/>
    <w:rsid w:val="00FC66A1"/>
    <w:rsid w:val="00FC6B9A"/>
    <w:rsid w:val="00FC71BF"/>
    <w:rsid w:val="00FC74B0"/>
    <w:rsid w:val="00FC75AA"/>
    <w:rsid w:val="00FC7735"/>
    <w:rsid w:val="00FC7DB4"/>
    <w:rsid w:val="00FD1EA0"/>
    <w:rsid w:val="00FD203E"/>
    <w:rsid w:val="00FD4975"/>
    <w:rsid w:val="00FD6E03"/>
    <w:rsid w:val="00FD77BD"/>
    <w:rsid w:val="00FD7A33"/>
    <w:rsid w:val="00FD7DA4"/>
    <w:rsid w:val="00FE16C3"/>
    <w:rsid w:val="00FE2BEF"/>
    <w:rsid w:val="00FE3636"/>
    <w:rsid w:val="00FE567D"/>
    <w:rsid w:val="00FE5830"/>
    <w:rsid w:val="00FE6207"/>
    <w:rsid w:val="00FE683E"/>
    <w:rsid w:val="00FF020A"/>
    <w:rsid w:val="00FF19C1"/>
    <w:rsid w:val="00FF1F90"/>
    <w:rsid w:val="00FF2284"/>
    <w:rsid w:val="00FF2BC0"/>
    <w:rsid w:val="00FF4D6A"/>
    <w:rsid w:val="00FF56DB"/>
    <w:rsid w:val="00FF5736"/>
    <w:rsid w:val="00FF6992"/>
    <w:rsid w:val="00FF7E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62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5D7"/>
    <w:rPr>
      <w:sz w:val="22"/>
      <w:szCs w:val="22"/>
    </w:rPr>
  </w:style>
  <w:style w:type="paragraph" w:styleId="Heading1">
    <w:name w:val="heading 1"/>
    <w:basedOn w:val="Normal"/>
    <w:next w:val="Normal"/>
    <w:link w:val="Heading1Char"/>
    <w:uiPriority w:val="9"/>
    <w:qFormat/>
    <w:rsid w:val="00E942CD"/>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C45863"/>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C45863"/>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45863"/>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C45863"/>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C45863"/>
    <w:pPr>
      <w:tabs>
        <w:tab w:val="num" w:pos="4320"/>
      </w:tabs>
      <w:spacing w:before="240" w:after="60"/>
      <w:ind w:left="4320" w:hanging="72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C45863"/>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C45863"/>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C45863"/>
    <w:pPr>
      <w:tabs>
        <w:tab w:val="num" w:pos="6480"/>
      </w:tabs>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942CD"/>
    <w:rPr>
      <w:rFonts w:ascii="Cambria" w:hAnsi="Cambria" w:cs="Times New Roman"/>
      <w:b/>
      <w:bCs/>
      <w:color w:val="365F91"/>
      <w:sz w:val="28"/>
      <w:szCs w:val="28"/>
    </w:rPr>
  </w:style>
  <w:style w:type="character" w:styleId="Hyperlink">
    <w:name w:val="Hyperlink"/>
    <w:basedOn w:val="DefaultParagraphFont"/>
    <w:uiPriority w:val="99"/>
    <w:unhideWhenUsed/>
    <w:rsid w:val="00F24692"/>
    <w:rPr>
      <w:rFonts w:cs="Times New Roman"/>
      <w:color w:val="0000FF"/>
      <w:u w:val="single"/>
    </w:rPr>
  </w:style>
  <w:style w:type="paragraph" w:styleId="ListParagraph">
    <w:name w:val="List Paragraph"/>
    <w:basedOn w:val="Normal"/>
    <w:uiPriority w:val="34"/>
    <w:qFormat/>
    <w:rsid w:val="00E942CD"/>
    <w:pPr>
      <w:ind w:left="720"/>
      <w:contextualSpacing/>
    </w:pPr>
  </w:style>
  <w:style w:type="paragraph" w:styleId="TOCHeading">
    <w:name w:val="TOC Heading"/>
    <w:basedOn w:val="Heading1"/>
    <w:next w:val="Normal"/>
    <w:uiPriority w:val="39"/>
    <w:qFormat/>
    <w:rsid w:val="00E942CD"/>
    <w:pPr>
      <w:spacing w:line="276" w:lineRule="auto"/>
      <w:outlineLvl w:val="9"/>
    </w:pPr>
  </w:style>
  <w:style w:type="paragraph" w:styleId="TOC2">
    <w:name w:val="toc 2"/>
    <w:basedOn w:val="Normal"/>
    <w:next w:val="Normal"/>
    <w:autoRedefine/>
    <w:uiPriority w:val="39"/>
    <w:semiHidden/>
    <w:unhideWhenUsed/>
    <w:qFormat/>
    <w:rsid w:val="00E942CD"/>
    <w:pPr>
      <w:spacing w:after="100" w:line="276" w:lineRule="auto"/>
      <w:ind w:left="220"/>
    </w:pPr>
  </w:style>
  <w:style w:type="paragraph" w:styleId="TOC1">
    <w:name w:val="toc 1"/>
    <w:basedOn w:val="Normal"/>
    <w:next w:val="Normal"/>
    <w:autoRedefine/>
    <w:uiPriority w:val="39"/>
    <w:unhideWhenUsed/>
    <w:qFormat/>
    <w:rsid w:val="00B363FA"/>
    <w:pPr>
      <w:tabs>
        <w:tab w:val="right" w:leader="dot" w:pos="9360"/>
      </w:tabs>
      <w:spacing w:after="100" w:line="276" w:lineRule="auto"/>
    </w:pPr>
    <w:rPr>
      <w:rFonts w:asciiTheme="majorHAnsi" w:hAnsiTheme="majorHAnsi" w:cstheme="majorHAnsi"/>
    </w:rPr>
  </w:style>
  <w:style w:type="paragraph" w:styleId="TOC3">
    <w:name w:val="toc 3"/>
    <w:basedOn w:val="Normal"/>
    <w:next w:val="Normal"/>
    <w:autoRedefine/>
    <w:uiPriority w:val="39"/>
    <w:unhideWhenUsed/>
    <w:qFormat/>
    <w:rsid w:val="00E942CD"/>
    <w:pPr>
      <w:spacing w:after="100" w:line="276" w:lineRule="auto"/>
      <w:ind w:left="440"/>
    </w:pPr>
  </w:style>
  <w:style w:type="paragraph" w:styleId="BalloonText">
    <w:name w:val="Balloon Text"/>
    <w:basedOn w:val="Normal"/>
    <w:link w:val="BalloonTextChar"/>
    <w:uiPriority w:val="99"/>
    <w:unhideWhenUsed/>
    <w:rsid w:val="00E942CD"/>
    <w:rPr>
      <w:rFonts w:ascii="Tahoma" w:hAnsi="Tahoma" w:cs="Tahoma"/>
      <w:sz w:val="16"/>
      <w:szCs w:val="16"/>
    </w:rPr>
  </w:style>
  <w:style w:type="character" w:customStyle="1" w:styleId="BalloonTextChar">
    <w:name w:val="Balloon Text Char"/>
    <w:basedOn w:val="DefaultParagraphFont"/>
    <w:link w:val="BalloonText"/>
    <w:uiPriority w:val="99"/>
    <w:locked/>
    <w:rsid w:val="00E942CD"/>
    <w:rPr>
      <w:rFonts w:ascii="Tahoma" w:hAnsi="Tahoma" w:cs="Tahoma"/>
      <w:sz w:val="16"/>
      <w:szCs w:val="16"/>
    </w:rPr>
  </w:style>
  <w:style w:type="paragraph" w:styleId="Header">
    <w:name w:val="header"/>
    <w:aliases w:val="Char"/>
    <w:basedOn w:val="Normal"/>
    <w:link w:val="HeaderChar"/>
    <w:rsid w:val="000F1126"/>
    <w:pPr>
      <w:widowControl w:val="0"/>
      <w:tabs>
        <w:tab w:val="center" w:pos="4320"/>
        <w:tab w:val="right" w:pos="8640"/>
      </w:tabs>
    </w:pPr>
    <w:rPr>
      <w:rFonts w:ascii="Times New Roman" w:hAnsi="Times New Roman"/>
      <w:sz w:val="20"/>
      <w:szCs w:val="20"/>
    </w:rPr>
  </w:style>
  <w:style w:type="character" w:customStyle="1" w:styleId="HeaderChar">
    <w:name w:val="Header Char"/>
    <w:aliases w:val="Char Char"/>
    <w:basedOn w:val="DefaultParagraphFont"/>
    <w:link w:val="Header"/>
    <w:locked/>
    <w:rsid w:val="000F1126"/>
    <w:rPr>
      <w:rFonts w:ascii="Times New Roman" w:hAnsi="Times New Roman" w:cs="Times New Roman"/>
      <w:sz w:val="20"/>
      <w:szCs w:val="20"/>
    </w:rPr>
  </w:style>
  <w:style w:type="paragraph" w:customStyle="1" w:styleId="Default">
    <w:name w:val="Default"/>
    <w:rsid w:val="00BF0F0B"/>
    <w:pPr>
      <w:autoSpaceDE w:val="0"/>
      <w:autoSpaceDN w:val="0"/>
      <w:adjustRightInd w:val="0"/>
    </w:pPr>
    <w:rPr>
      <w:rFonts w:ascii="Times New Roman" w:hAnsi="Times New Roman"/>
      <w:color w:val="000000"/>
      <w:sz w:val="24"/>
      <w:szCs w:val="24"/>
    </w:rPr>
  </w:style>
  <w:style w:type="paragraph" w:styleId="Footer">
    <w:name w:val="footer"/>
    <w:basedOn w:val="Normal"/>
    <w:link w:val="FooterChar"/>
    <w:uiPriority w:val="99"/>
    <w:unhideWhenUsed/>
    <w:rsid w:val="00E253BA"/>
    <w:pPr>
      <w:tabs>
        <w:tab w:val="center" w:pos="4680"/>
        <w:tab w:val="right" w:pos="9360"/>
      </w:tabs>
    </w:pPr>
  </w:style>
  <w:style w:type="character" w:customStyle="1" w:styleId="FooterChar">
    <w:name w:val="Footer Char"/>
    <w:basedOn w:val="DefaultParagraphFont"/>
    <w:link w:val="Footer"/>
    <w:uiPriority w:val="99"/>
    <w:locked/>
    <w:rsid w:val="00E253BA"/>
    <w:rPr>
      <w:rFonts w:cs="Times New Roman"/>
    </w:rPr>
  </w:style>
  <w:style w:type="paragraph" w:styleId="NormalWeb">
    <w:name w:val="Normal (Web)"/>
    <w:basedOn w:val="Normal"/>
    <w:uiPriority w:val="99"/>
    <w:semiHidden/>
    <w:unhideWhenUsed/>
    <w:rsid w:val="00034235"/>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DA655C"/>
    <w:rPr>
      <w:rFonts w:cs="Times New Roman"/>
      <w:b/>
      <w:bCs/>
    </w:rPr>
  </w:style>
  <w:style w:type="character" w:customStyle="1" w:styleId="tutorialsmainbody1">
    <w:name w:val="tutorials_mainbody1"/>
    <w:rsid w:val="00047399"/>
    <w:rPr>
      <w:rFonts w:ascii="Arial" w:hAnsi="Arial"/>
      <w:sz w:val="14"/>
    </w:rPr>
  </w:style>
  <w:style w:type="character" w:customStyle="1" w:styleId="apple-converted-space">
    <w:name w:val="apple-converted-space"/>
    <w:basedOn w:val="DefaultParagraphFont"/>
    <w:rsid w:val="00047399"/>
    <w:rPr>
      <w:rFonts w:cs="Times New Roman"/>
    </w:rPr>
  </w:style>
  <w:style w:type="paragraph" w:styleId="BodyText3">
    <w:name w:val="Body Text 3"/>
    <w:aliases w:val="Body Text 3 Char Char Char"/>
    <w:basedOn w:val="Normal"/>
    <w:link w:val="BodyText3Char"/>
    <w:uiPriority w:val="99"/>
    <w:rsid w:val="007255E5"/>
    <w:pPr>
      <w:widowControl w:val="0"/>
    </w:pPr>
  </w:style>
  <w:style w:type="character" w:customStyle="1" w:styleId="BodyText3Char">
    <w:name w:val="Body Text 3 Char"/>
    <w:aliases w:val="Body Text 3 Char Char Char Char"/>
    <w:basedOn w:val="DefaultParagraphFont"/>
    <w:link w:val="BodyText3"/>
    <w:uiPriority w:val="99"/>
    <w:locked/>
    <w:rsid w:val="007255E5"/>
    <w:rPr>
      <w:rFonts w:ascii="Calibri" w:hAnsi="Calibri" w:cs="Times New Roman"/>
    </w:rPr>
  </w:style>
  <w:style w:type="character" w:styleId="Emphasis">
    <w:name w:val="Emphasis"/>
    <w:basedOn w:val="DefaultParagraphFont"/>
    <w:uiPriority w:val="20"/>
    <w:qFormat/>
    <w:rsid w:val="002653F4"/>
    <w:rPr>
      <w:i/>
      <w:iCs/>
    </w:rPr>
  </w:style>
  <w:style w:type="character" w:customStyle="1" w:styleId="itxtrst">
    <w:name w:val="itxtrst"/>
    <w:basedOn w:val="DefaultParagraphFont"/>
    <w:rsid w:val="0082222E"/>
  </w:style>
  <w:style w:type="table" w:styleId="TableGrid">
    <w:name w:val="Table Grid"/>
    <w:basedOn w:val="TableNormal"/>
    <w:uiPriority w:val="59"/>
    <w:rsid w:val="000B6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4586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4586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4586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4586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C45863"/>
    <w:rPr>
      <w:rFonts w:ascii="Times New Roman" w:hAnsi="Times New Roman"/>
      <w:b/>
      <w:bCs/>
      <w:sz w:val="22"/>
      <w:szCs w:val="22"/>
    </w:rPr>
  </w:style>
  <w:style w:type="character" w:customStyle="1" w:styleId="Heading7Char">
    <w:name w:val="Heading 7 Char"/>
    <w:basedOn w:val="DefaultParagraphFont"/>
    <w:link w:val="Heading7"/>
    <w:uiPriority w:val="9"/>
    <w:semiHidden/>
    <w:rsid w:val="00C45863"/>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C45863"/>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C45863"/>
    <w:rPr>
      <w:rFonts w:asciiTheme="majorHAnsi" w:eastAsiaTheme="majorEastAsia" w:hAnsiTheme="majorHAnsi" w:cstheme="majorBidi"/>
      <w:sz w:val="22"/>
      <w:szCs w:val="22"/>
    </w:rPr>
  </w:style>
  <w:style w:type="paragraph" w:styleId="Subtitle">
    <w:name w:val="Subtitle"/>
    <w:basedOn w:val="Normal"/>
    <w:next w:val="Normal"/>
    <w:link w:val="SubtitleChar"/>
    <w:uiPriority w:val="19"/>
    <w:unhideWhenUsed/>
    <w:qFormat/>
    <w:rsid w:val="00832B50"/>
    <w:pPr>
      <w:numPr>
        <w:ilvl w:val="1"/>
      </w:numPr>
      <w:spacing w:before="40" w:after="160" w:line="288" w:lineRule="auto"/>
      <w:ind w:left="144" w:right="720"/>
    </w:pPr>
    <w:rPr>
      <w:rFonts w:asciiTheme="majorHAnsi" w:eastAsiaTheme="majorEastAsia" w:hAnsiTheme="majorHAnsi" w:cstheme="majorBidi"/>
      <w:caps/>
      <w:color w:val="5B9BD5" w:themeColor="accent1"/>
      <w:kern w:val="20"/>
      <w:sz w:val="64"/>
      <w:szCs w:val="20"/>
      <w:lang w:eastAsia="ja-JP"/>
    </w:rPr>
  </w:style>
  <w:style w:type="character" w:customStyle="1" w:styleId="SubtitleChar">
    <w:name w:val="Subtitle Char"/>
    <w:basedOn w:val="DefaultParagraphFont"/>
    <w:link w:val="Subtitle"/>
    <w:uiPriority w:val="19"/>
    <w:rsid w:val="00832B50"/>
    <w:rPr>
      <w:rFonts w:asciiTheme="majorHAnsi" w:eastAsiaTheme="majorEastAsia" w:hAnsiTheme="majorHAnsi" w:cstheme="majorBidi"/>
      <w:caps/>
      <w:color w:val="5B9BD5" w:themeColor="accent1"/>
      <w:kern w:val="20"/>
      <w:sz w:val="64"/>
      <w:lang w:eastAsia="ja-JP"/>
    </w:rPr>
  </w:style>
  <w:style w:type="paragraph" w:styleId="Title">
    <w:name w:val="Title"/>
    <w:basedOn w:val="Normal"/>
    <w:next w:val="Normal"/>
    <w:link w:val="TitleChar"/>
    <w:uiPriority w:val="19"/>
    <w:unhideWhenUsed/>
    <w:qFormat/>
    <w:rsid w:val="00832B50"/>
    <w:pPr>
      <w:pBdr>
        <w:top w:val="single" w:sz="4" w:space="10" w:color="5B9BD5" w:themeColor="accent1"/>
        <w:left w:val="single" w:sz="4" w:space="5" w:color="5B9BD5" w:themeColor="accent1"/>
        <w:bottom w:val="single" w:sz="4" w:space="10" w:color="5B9BD5" w:themeColor="accent1"/>
        <w:right w:val="single" w:sz="4" w:space="5" w:color="5B9BD5" w:themeColor="accent1"/>
      </w:pBdr>
      <w:shd w:val="clear" w:color="auto" w:fill="5B9BD5"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szCs w:val="20"/>
      <w:lang w:eastAsia="ja-JP"/>
    </w:rPr>
  </w:style>
  <w:style w:type="character" w:customStyle="1" w:styleId="TitleChar">
    <w:name w:val="Title Char"/>
    <w:basedOn w:val="DefaultParagraphFont"/>
    <w:link w:val="Title"/>
    <w:uiPriority w:val="19"/>
    <w:rsid w:val="00832B50"/>
    <w:rPr>
      <w:rFonts w:asciiTheme="majorHAnsi" w:eastAsiaTheme="majorEastAsia" w:hAnsiTheme="majorHAnsi" w:cstheme="majorBidi"/>
      <w:caps/>
      <w:color w:val="FFFFFF" w:themeColor="background1"/>
      <w:spacing w:val="40"/>
      <w:kern w:val="28"/>
      <w:sz w:val="136"/>
      <w:shd w:val="clear" w:color="auto" w:fill="5B9BD5" w:themeFill="accent1"/>
      <w:lang w:eastAsia="ja-JP"/>
    </w:rPr>
  </w:style>
  <w:style w:type="paragraph" w:customStyle="1" w:styleId="Abstract">
    <w:name w:val="Abstract"/>
    <w:basedOn w:val="Normal"/>
    <w:uiPriority w:val="19"/>
    <w:qFormat/>
    <w:rsid w:val="00832B50"/>
    <w:pPr>
      <w:spacing w:before="360" w:after="600" w:line="288" w:lineRule="auto"/>
      <w:ind w:left="144" w:right="144"/>
    </w:pPr>
    <w:rPr>
      <w:rFonts w:asciiTheme="minorHAnsi" w:eastAsiaTheme="minorHAnsi" w:hAnsiTheme="minorHAnsi" w:cstheme="minorBidi"/>
      <w:i/>
      <w:iCs/>
      <w:color w:val="7F7F7F" w:themeColor="text1" w:themeTint="80"/>
      <w:kern w:val="20"/>
      <w:sz w:val="28"/>
      <w:szCs w:val="20"/>
      <w:lang w:eastAsia="ja-JP"/>
    </w:rPr>
  </w:style>
  <w:style w:type="paragraph" w:customStyle="1" w:styleId="Body1">
    <w:name w:val="Body 1"/>
    <w:rsid w:val="007037F9"/>
    <w:pPr>
      <w:outlineLvl w:val="0"/>
    </w:pPr>
    <w:rPr>
      <w:rFonts w:ascii="Helvetica" w:eastAsia="Arial Unicode MS" w:hAnsi="Helvetica"/>
      <w:color w:val="000000"/>
      <w:sz w:val="22"/>
      <w:u w:color="000000"/>
    </w:rPr>
  </w:style>
  <w:style w:type="character" w:styleId="CommentReference">
    <w:name w:val="annotation reference"/>
    <w:basedOn w:val="DefaultParagraphFont"/>
    <w:uiPriority w:val="99"/>
    <w:semiHidden/>
    <w:unhideWhenUsed/>
    <w:rsid w:val="00B01CBE"/>
    <w:rPr>
      <w:sz w:val="16"/>
      <w:szCs w:val="16"/>
    </w:rPr>
  </w:style>
  <w:style w:type="paragraph" w:styleId="CommentText">
    <w:name w:val="annotation text"/>
    <w:basedOn w:val="Normal"/>
    <w:link w:val="CommentTextChar"/>
    <w:uiPriority w:val="99"/>
    <w:semiHidden/>
    <w:unhideWhenUsed/>
    <w:rsid w:val="00B01CBE"/>
    <w:rPr>
      <w:sz w:val="20"/>
      <w:szCs w:val="20"/>
    </w:rPr>
  </w:style>
  <w:style w:type="character" w:customStyle="1" w:styleId="CommentTextChar">
    <w:name w:val="Comment Text Char"/>
    <w:basedOn w:val="DefaultParagraphFont"/>
    <w:link w:val="CommentText"/>
    <w:uiPriority w:val="99"/>
    <w:semiHidden/>
    <w:rsid w:val="00B01CBE"/>
  </w:style>
  <w:style w:type="paragraph" w:styleId="CommentSubject">
    <w:name w:val="annotation subject"/>
    <w:basedOn w:val="CommentText"/>
    <w:next w:val="CommentText"/>
    <w:link w:val="CommentSubjectChar"/>
    <w:uiPriority w:val="99"/>
    <w:semiHidden/>
    <w:unhideWhenUsed/>
    <w:rsid w:val="00B01CBE"/>
    <w:rPr>
      <w:b/>
      <w:bCs/>
    </w:rPr>
  </w:style>
  <w:style w:type="character" w:customStyle="1" w:styleId="CommentSubjectChar">
    <w:name w:val="Comment Subject Char"/>
    <w:basedOn w:val="CommentTextChar"/>
    <w:link w:val="CommentSubject"/>
    <w:uiPriority w:val="99"/>
    <w:semiHidden/>
    <w:rsid w:val="00B01CBE"/>
    <w:rPr>
      <w:b/>
      <w:bCs/>
    </w:rPr>
  </w:style>
  <w:style w:type="character" w:styleId="UnresolvedMention">
    <w:name w:val="Unresolved Mention"/>
    <w:basedOn w:val="DefaultParagraphFont"/>
    <w:uiPriority w:val="99"/>
    <w:semiHidden/>
    <w:unhideWhenUsed/>
    <w:rsid w:val="00007514"/>
    <w:rPr>
      <w:color w:val="605E5C"/>
      <w:shd w:val="clear" w:color="auto" w:fill="E1DFDD"/>
    </w:rPr>
  </w:style>
  <w:style w:type="paragraph" w:styleId="Revision">
    <w:name w:val="Revision"/>
    <w:hidden/>
    <w:uiPriority w:val="99"/>
    <w:semiHidden/>
    <w:rsid w:val="0058787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1500">
      <w:bodyDiv w:val="1"/>
      <w:marLeft w:val="0"/>
      <w:marRight w:val="0"/>
      <w:marTop w:val="0"/>
      <w:marBottom w:val="0"/>
      <w:divBdr>
        <w:top w:val="none" w:sz="0" w:space="0" w:color="auto"/>
        <w:left w:val="none" w:sz="0" w:space="0" w:color="auto"/>
        <w:bottom w:val="none" w:sz="0" w:space="0" w:color="auto"/>
        <w:right w:val="none" w:sz="0" w:space="0" w:color="auto"/>
      </w:divBdr>
      <w:divsChild>
        <w:div w:id="274606647">
          <w:marLeft w:val="0"/>
          <w:marRight w:val="0"/>
          <w:marTop w:val="0"/>
          <w:marBottom w:val="0"/>
          <w:divBdr>
            <w:top w:val="none" w:sz="0" w:space="0" w:color="auto"/>
            <w:left w:val="none" w:sz="0" w:space="0" w:color="auto"/>
            <w:bottom w:val="none" w:sz="0" w:space="0" w:color="auto"/>
            <w:right w:val="none" w:sz="0" w:space="0" w:color="auto"/>
          </w:divBdr>
        </w:div>
        <w:div w:id="290748234">
          <w:marLeft w:val="0"/>
          <w:marRight w:val="0"/>
          <w:marTop w:val="0"/>
          <w:marBottom w:val="0"/>
          <w:divBdr>
            <w:top w:val="none" w:sz="0" w:space="0" w:color="auto"/>
            <w:left w:val="none" w:sz="0" w:space="0" w:color="auto"/>
            <w:bottom w:val="none" w:sz="0" w:space="0" w:color="auto"/>
            <w:right w:val="none" w:sz="0" w:space="0" w:color="auto"/>
          </w:divBdr>
        </w:div>
        <w:div w:id="334113932">
          <w:marLeft w:val="0"/>
          <w:marRight w:val="0"/>
          <w:marTop w:val="0"/>
          <w:marBottom w:val="0"/>
          <w:divBdr>
            <w:top w:val="none" w:sz="0" w:space="0" w:color="auto"/>
            <w:left w:val="none" w:sz="0" w:space="0" w:color="auto"/>
            <w:bottom w:val="none" w:sz="0" w:space="0" w:color="auto"/>
            <w:right w:val="none" w:sz="0" w:space="0" w:color="auto"/>
          </w:divBdr>
        </w:div>
        <w:div w:id="623581377">
          <w:marLeft w:val="0"/>
          <w:marRight w:val="0"/>
          <w:marTop w:val="0"/>
          <w:marBottom w:val="0"/>
          <w:divBdr>
            <w:top w:val="none" w:sz="0" w:space="0" w:color="auto"/>
            <w:left w:val="none" w:sz="0" w:space="0" w:color="auto"/>
            <w:bottom w:val="none" w:sz="0" w:space="0" w:color="auto"/>
            <w:right w:val="none" w:sz="0" w:space="0" w:color="auto"/>
          </w:divBdr>
        </w:div>
        <w:div w:id="777532072">
          <w:marLeft w:val="0"/>
          <w:marRight w:val="0"/>
          <w:marTop w:val="0"/>
          <w:marBottom w:val="0"/>
          <w:divBdr>
            <w:top w:val="none" w:sz="0" w:space="0" w:color="auto"/>
            <w:left w:val="none" w:sz="0" w:space="0" w:color="auto"/>
            <w:bottom w:val="none" w:sz="0" w:space="0" w:color="auto"/>
            <w:right w:val="none" w:sz="0" w:space="0" w:color="auto"/>
          </w:divBdr>
        </w:div>
        <w:div w:id="2083671983">
          <w:marLeft w:val="0"/>
          <w:marRight w:val="0"/>
          <w:marTop w:val="0"/>
          <w:marBottom w:val="0"/>
          <w:divBdr>
            <w:top w:val="none" w:sz="0" w:space="0" w:color="auto"/>
            <w:left w:val="none" w:sz="0" w:space="0" w:color="auto"/>
            <w:bottom w:val="none" w:sz="0" w:space="0" w:color="auto"/>
            <w:right w:val="none" w:sz="0" w:space="0" w:color="auto"/>
          </w:divBdr>
        </w:div>
      </w:divsChild>
    </w:div>
    <w:div w:id="31419220">
      <w:bodyDiv w:val="1"/>
      <w:marLeft w:val="0"/>
      <w:marRight w:val="0"/>
      <w:marTop w:val="0"/>
      <w:marBottom w:val="0"/>
      <w:divBdr>
        <w:top w:val="none" w:sz="0" w:space="0" w:color="auto"/>
        <w:left w:val="none" w:sz="0" w:space="0" w:color="auto"/>
        <w:bottom w:val="none" w:sz="0" w:space="0" w:color="auto"/>
        <w:right w:val="none" w:sz="0" w:space="0" w:color="auto"/>
      </w:divBdr>
      <w:divsChild>
        <w:div w:id="157308128">
          <w:marLeft w:val="0"/>
          <w:marRight w:val="0"/>
          <w:marTop w:val="0"/>
          <w:marBottom w:val="0"/>
          <w:divBdr>
            <w:top w:val="none" w:sz="0" w:space="0" w:color="auto"/>
            <w:left w:val="none" w:sz="0" w:space="0" w:color="auto"/>
            <w:bottom w:val="none" w:sz="0" w:space="0" w:color="auto"/>
            <w:right w:val="none" w:sz="0" w:space="0" w:color="auto"/>
          </w:divBdr>
        </w:div>
        <w:div w:id="783890616">
          <w:marLeft w:val="0"/>
          <w:marRight w:val="0"/>
          <w:marTop w:val="0"/>
          <w:marBottom w:val="0"/>
          <w:divBdr>
            <w:top w:val="none" w:sz="0" w:space="0" w:color="auto"/>
            <w:left w:val="none" w:sz="0" w:space="0" w:color="auto"/>
            <w:bottom w:val="none" w:sz="0" w:space="0" w:color="auto"/>
            <w:right w:val="none" w:sz="0" w:space="0" w:color="auto"/>
          </w:divBdr>
        </w:div>
        <w:div w:id="863447333">
          <w:marLeft w:val="0"/>
          <w:marRight w:val="0"/>
          <w:marTop w:val="0"/>
          <w:marBottom w:val="0"/>
          <w:divBdr>
            <w:top w:val="none" w:sz="0" w:space="0" w:color="auto"/>
            <w:left w:val="none" w:sz="0" w:space="0" w:color="auto"/>
            <w:bottom w:val="none" w:sz="0" w:space="0" w:color="auto"/>
            <w:right w:val="none" w:sz="0" w:space="0" w:color="auto"/>
          </w:divBdr>
        </w:div>
        <w:div w:id="903952646">
          <w:marLeft w:val="0"/>
          <w:marRight w:val="0"/>
          <w:marTop w:val="0"/>
          <w:marBottom w:val="0"/>
          <w:divBdr>
            <w:top w:val="none" w:sz="0" w:space="0" w:color="auto"/>
            <w:left w:val="none" w:sz="0" w:space="0" w:color="auto"/>
            <w:bottom w:val="none" w:sz="0" w:space="0" w:color="auto"/>
            <w:right w:val="none" w:sz="0" w:space="0" w:color="auto"/>
          </w:divBdr>
        </w:div>
        <w:div w:id="1178235163">
          <w:marLeft w:val="0"/>
          <w:marRight w:val="0"/>
          <w:marTop w:val="0"/>
          <w:marBottom w:val="0"/>
          <w:divBdr>
            <w:top w:val="none" w:sz="0" w:space="0" w:color="auto"/>
            <w:left w:val="none" w:sz="0" w:space="0" w:color="auto"/>
            <w:bottom w:val="none" w:sz="0" w:space="0" w:color="auto"/>
            <w:right w:val="none" w:sz="0" w:space="0" w:color="auto"/>
          </w:divBdr>
        </w:div>
        <w:div w:id="1342506776">
          <w:marLeft w:val="0"/>
          <w:marRight w:val="0"/>
          <w:marTop w:val="0"/>
          <w:marBottom w:val="0"/>
          <w:divBdr>
            <w:top w:val="none" w:sz="0" w:space="0" w:color="auto"/>
            <w:left w:val="none" w:sz="0" w:space="0" w:color="auto"/>
            <w:bottom w:val="none" w:sz="0" w:space="0" w:color="auto"/>
            <w:right w:val="none" w:sz="0" w:space="0" w:color="auto"/>
          </w:divBdr>
        </w:div>
      </w:divsChild>
    </w:div>
    <w:div w:id="569074702">
      <w:bodyDiv w:val="1"/>
      <w:marLeft w:val="0"/>
      <w:marRight w:val="0"/>
      <w:marTop w:val="0"/>
      <w:marBottom w:val="0"/>
      <w:divBdr>
        <w:top w:val="none" w:sz="0" w:space="0" w:color="auto"/>
        <w:left w:val="none" w:sz="0" w:space="0" w:color="auto"/>
        <w:bottom w:val="none" w:sz="0" w:space="0" w:color="auto"/>
        <w:right w:val="none" w:sz="0" w:space="0" w:color="auto"/>
      </w:divBdr>
      <w:divsChild>
        <w:div w:id="314115642">
          <w:marLeft w:val="0"/>
          <w:marRight w:val="0"/>
          <w:marTop w:val="0"/>
          <w:marBottom w:val="0"/>
          <w:divBdr>
            <w:top w:val="none" w:sz="0" w:space="0" w:color="auto"/>
            <w:left w:val="none" w:sz="0" w:space="0" w:color="auto"/>
            <w:bottom w:val="none" w:sz="0" w:space="0" w:color="auto"/>
            <w:right w:val="none" w:sz="0" w:space="0" w:color="auto"/>
          </w:divBdr>
        </w:div>
        <w:div w:id="411395493">
          <w:marLeft w:val="0"/>
          <w:marRight w:val="0"/>
          <w:marTop w:val="0"/>
          <w:marBottom w:val="0"/>
          <w:divBdr>
            <w:top w:val="none" w:sz="0" w:space="0" w:color="auto"/>
            <w:left w:val="none" w:sz="0" w:space="0" w:color="auto"/>
            <w:bottom w:val="none" w:sz="0" w:space="0" w:color="auto"/>
            <w:right w:val="none" w:sz="0" w:space="0" w:color="auto"/>
          </w:divBdr>
        </w:div>
        <w:div w:id="558201818">
          <w:marLeft w:val="0"/>
          <w:marRight w:val="0"/>
          <w:marTop w:val="0"/>
          <w:marBottom w:val="0"/>
          <w:divBdr>
            <w:top w:val="none" w:sz="0" w:space="0" w:color="auto"/>
            <w:left w:val="none" w:sz="0" w:space="0" w:color="auto"/>
            <w:bottom w:val="none" w:sz="0" w:space="0" w:color="auto"/>
            <w:right w:val="none" w:sz="0" w:space="0" w:color="auto"/>
          </w:divBdr>
        </w:div>
        <w:div w:id="732388069">
          <w:marLeft w:val="0"/>
          <w:marRight w:val="0"/>
          <w:marTop w:val="0"/>
          <w:marBottom w:val="0"/>
          <w:divBdr>
            <w:top w:val="none" w:sz="0" w:space="0" w:color="auto"/>
            <w:left w:val="none" w:sz="0" w:space="0" w:color="auto"/>
            <w:bottom w:val="none" w:sz="0" w:space="0" w:color="auto"/>
            <w:right w:val="none" w:sz="0" w:space="0" w:color="auto"/>
          </w:divBdr>
        </w:div>
        <w:div w:id="740760142">
          <w:marLeft w:val="0"/>
          <w:marRight w:val="0"/>
          <w:marTop w:val="0"/>
          <w:marBottom w:val="0"/>
          <w:divBdr>
            <w:top w:val="none" w:sz="0" w:space="0" w:color="auto"/>
            <w:left w:val="none" w:sz="0" w:space="0" w:color="auto"/>
            <w:bottom w:val="none" w:sz="0" w:space="0" w:color="auto"/>
            <w:right w:val="none" w:sz="0" w:space="0" w:color="auto"/>
          </w:divBdr>
        </w:div>
        <w:div w:id="1778283759">
          <w:marLeft w:val="0"/>
          <w:marRight w:val="0"/>
          <w:marTop w:val="0"/>
          <w:marBottom w:val="0"/>
          <w:divBdr>
            <w:top w:val="none" w:sz="0" w:space="0" w:color="auto"/>
            <w:left w:val="none" w:sz="0" w:space="0" w:color="auto"/>
            <w:bottom w:val="none" w:sz="0" w:space="0" w:color="auto"/>
            <w:right w:val="none" w:sz="0" w:space="0" w:color="auto"/>
          </w:divBdr>
        </w:div>
      </w:divsChild>
    </w:div>
    <w:div w:id="588274343">
      <w:bodyDiv w:val="1"/>
      <w:marLeft w:val="0"/>
      <w:marRight w:val="0"/>
      <w:marTop w:val="0"/>
      <w:marBottom w:val="0"/>
      <w:divBdr>
        <w:top w:val="none" w:sz="0" w:space="0" w:color="auto"/>
        <w:left w:val="none" w:sz="0" w:space="0" w:color="auto"/>
        <w:bottom w:val="none" w:sz="0" w:space="0" w:color="auto"/>
        <w:right w:val="none" w:sz="0" w:space="0" w:color="auto"/>
      </w:divBdr>
      <w:divsChild>
        <w:div w:id="198862763">
          <w:marLeft w:val="0"/>
          <w:marRight w:val="0"/>
          <w:marTop w:val="0"/>
          <w:marBottom w:val="0"/>
          <w:divBdr>
            <w:top w:val="none" w:sz="0" w:space="0" w:color="auto"/>
            <w:left w:val="none" w:sz="0" w:space="0" w:color="auto"/>
            <w:bottom w:val="none" w:sz="0" w:space="0" w:color="auto"/>
            <w:right w:val="none" w:sz="0" w:space="0" w:color="auto"/>
          </w:divBdr>
        </w:div>
        <w:div w:id="1060250874">
          <w:marLeft w:val="0"/>
          <w:marRight w:val="0"/>
          <w:marTop w:val="0"/>
          <w:marBottom w:val="0"/>
          <w:divBdr>
            <w:top w:val="none" w:sz="0" w:space="0" w:color="auto"/>
            <w:left w:val="none" w:sz="0" w:space="0" w:color="auto"/>
            <w:bottom w:val="none" w:sz="0" w:space="0" w:color="auto"/>
            <w:right w:val="none" w:sz="0" w:space="0" w:color="auto"/>
          </w:divBdr>
        </w:div>
      </w:divsChild>
    </w:div>
    <w:div w:id="596065226">
      <w:bodyDiv w:val="1"/>
      <w:marLeft w:val="0"/>
      <w:marRight w:val="0"/>
      <w:marTop w:val="0"/>
      <w:marBottom w:val="0"/>
      <w:divBdr>
        <w:top w:val="none" w:sz="0" w:space="0" w:color="auto"/>
        <w:left w:val="none" w:sz="0" w:space="0" w:color="auto"/>
        <w:bottom w:val="none" w:sz="0" w:space="0" w:color="auto"/>
        <w:right w:val="none" w:sz="0" w:space="0" w:color="auto"/>
      </w:divBdr>
      <w:divsChild>
        <w:div w:id="83697315">
          <w:marLeft w:val="0"/>
          <w:marRight w:val="0"/>
          <w:marTop w:val="0"/>
          <w:marBottom w:val="0"/>
          <w:divBdr>
            <w:top w:val="none" w:sz="0" w:space="0" w:color="auto"/>
            <w:left w:val="none" w:sz="0" w:space="0" w:color="auto"/>
            <w:bottom w:val="none" w:sz="0" w:space="0" w:color="auto"/>
            <w:right w:val="none" w:sz="0" w:space="0" w:color="auto"/>
          </w:divBdr>
        </w:div>
        <w:div w:id="338628359">
          <w:marLeft w:val="0"/>
          <w:marRight w:val="0"/>
          <w:marTop w:val="0"/>
          <w:marBottom w:val="0"/>
          <w:divBdr>
            <w:top w:val="none" w:sz="0" w:space="0" w:color="auto"/>
            <w:left w:val="none" w:sz="0" w:space="0" w:color="auto"/>
            <w:bottom w:val="none" w:sz="0" w:space="0" w:color="auto"/>
            <w:right w:val="none" w:sz="0" w:space="0" w:color="auto"/>
          </w:divBdr>
        </w:div>
        <w:div w:id="971787717">
          <w:marLeft w:val="0"/>
          <w:marRight w:val="0"/>
          <w:marTop w:val="0"/>
          <w:marBottom w:val="0"/>
          <w:divBdr>
            <w:top w:val="none" w:sz="0" w:space="0" w:color="auto"/>
            <w:left w:val="none" w:sz="0" w:space="0" w:color="auto"/>
            <w:bottom w:val="none" w:sz="0" w:space="0" w:color="auto"/>
            <w:right w:val="none" w:sz="0" w:space="0" w:color="auto"/>
          </w:divBdr>
        </w:div>
        <w:div w:id="1058239194">
          <w:marLeft w:val="0"/>
          <w:marRight w:val="0"/>
          <w:marTop w:val="0"/>
          <w:marBottom w:val="0"/>
          <w:divBdr>
            <w:top w:val="none" w:sz="0" w:space="0" w:color="auto"/>
            <w:left w:val="none" w:sz="0" w:space="0" w:color="auto"/>
            <w:bottom w:val="none" w:sz="0" w:space="0" w:color="auto"/>
            <w:right w:val="none" w:sz="0" w:space="0" w:color="auto"/>
          </w:divBdr>
        </w:div>
        <w:div w:id="1075586314">
          <w:marLeft w:val="0"/>
          <w:marRight w:val="0"/>
          <w:marTop w:val="0"/>
          <w:marBottom w:val="0"/>
          <w:divBdr>
            <w:top w:val="none" w:sz="0" w:space="0" w:color="auto"/>
            <w:left w:val="none" w:sz="0" w:space="0" w:color="auto"/>
            <w:bottom w:val="none" w:sz="0" w:space="0" w:color="auto"/>
            <w:right w:val="none" w:sz="0" w:space="0" w:color="auto"/>
          </w:divBdr>
        </w:div>
        <w:div w:id="1462456328">
          <w:marLeft w:val="0"/>
          <w:marRight w:val="0"/>
          <w:marTop w:val="0"/>
          <w:marBottom w:val="0"/>
          <w:divBdr>
            <w:top w:val="none" w:sz="0" w:space="0" w:color="auto"/>
            <w:left w:val="none" w:sz="0" w:space="0" w:color="auto"/>
            <w:bottom w:val="none" w:sz="0" w:space="0" w:color="auto"/>
            <w:right w:val="none" w:sz="0" w:space="0" w:color="auto"/>
          </w:divBdr>
        </w:div>
        <w:div w:id="1737362648">
          <w:marLeft w:val="0"/>
          <w:marRight w:val="0"/>
          <w:marTop w:val="0"/>
          <w:marBottom w:val="0"/>
          <w:divBdr>
            <w:top w:val="none" w:sz="0" w:space="0" w:color="auto"/>
            <w:left w:val="none" w:sz="0" w:space="0" w:color="auto"/>
            <w:bottom w:val="none" w:sz="0" w:space="0" w:color="auto"/>
            <w:right w:val="none" w:sz="0" w:space="0" w:color="auto"/>
          </w:divBdr>
        </w:div>
        <w:div w:id="1806238381">
          <w:marLeft w:val="0"/>
          <w:marRight w:val="0"/>
          <w:marTop w:val="0"/>
          <w:marBottom w:val="0"/>
          <w:divBdr>
            <w:top w:val="none" w:sz="0" w:space="0" w:color="auto"/>
            <w:left w:val="none" w:sz="0" w:space="0" w:color="auto"/>
            <w:bottom w:val="none" w:sz="0" w:space="0" w:color="auto"/>
            <w:right w:val="none" w:sz="0" w:space="0" w:color="auto"/>
          </w:divBdr>
        </w:div>
      </w:divsChild>
    </w:div>
    <w:div w:id="624965361">
      <w:bodyDiv w:val="1"/>
      <w:marLeft w:val="0"/>
      <w:marRight w:val="0"/>
      <w:marTop w:val="0"/>
      <w:marBottom w:val="0"/>
      <w:divBdr>
        <w:top w:val="none" w:sz="0" w:space="0" w:color="auto"/>
        <w:left w:val="none" w:sz="0" w:space="0" w:color="auto"/>
        <w:bottom w:val="none" w:sz="0" w:space="0" w:color="auto"/>
        <w:right w:val="none" w:sz="0" w:space="0" w:color="auto"/>
      </w:divBdr>
      <w:divsChild>
        <w:div w:id="6055960">
          <w:marLeft w:val="0"/>
          <w:marRight w:val="0"/>
          <w:marTop w:val="0"/>
          <w:marBottom w:val="0"/>
          <w:divBdr>
            <w:top w:val="none" w:sz="0" w:space="0" w:color="auto"/>
            <w:left w:val="none" w:sz="0" w:space="0" w:color="auto"/>
            <w:bottom w:val="none" w:sz="0" w:space="0" w:color="auto"/>
            <w:right w:val="none" w:sz="0" w:space="0" w:color="auto"/>
          </w:divBdr>
        </w:div>
        <w:div w:id="15230418">
          <w:marLeft w:val="0"/>
          <w:marRight w:val="0"/>
          <w:marTop w:val="0"/>
          <w:marBottom w:val="0"/>
          <w:divBdr>
            <w:top w:val="none" w:sz="0" w:space="0" w:color="auto"/>
            <w:left w:val="none" w:sz="0" w:space="0" w:color="auto"/>
            <w:bottom w:val="none" w:sz="0" w:space="0" w:color="auto"/>
            <w:right w:val="none" w:sz="0" w:space="0" w:color="auto"/>
          </w:divBdr>
        </w:div>
        <w:div w:id="213471477">
          <w:marLeft w:val="0"/>
          <w:marRight w:val="0"/>
          <w:marTop w:val="0"/>
          <w:marBottom w:val="0"/>
          <w:divBdr>
            <w:top w:val="none" w:sz="0" w:space="0" w:color="auto"/>
            <w:left w:val="none" w:sz="0" w:space="0" w:color="auto"/>
            <w:bottom w:val="none" w:sz="0" w:space="0" w:color="auto"/>
            <w:right w:val="none" w:sz="0" w:space="0" w:color="auto"/>
          </w:divBdr>
        </w:div>
        <w:div w:id="305357390">
          <w:marLeft w:val="0"/>
          <w:marRight w:val="0"/>
          <w:marTop w:val="0"/>
          <w:marBottom w:val="0"/>
          <w:divBdr>
            <w:top w:val="none" w:sz="0" w:space="0" w:color="auto"/>
            <w:left w:val="none" w:sz="0" w:space="0" w:color="auto"/>
            <w:bottom w:val="none" w:sz="0" w:space="0" w:color="auto"/>
            <w:right w:val="none" w:sz="0" w:space="0" w:color="auto"/>
          </w:divBdr>
        </w:div>
        <w:div w:id="581448092">
          <w:marLeft w:val="0"/>
          <w:marRight w:val="0"/>
          <w:marTop w:val="0"/>
          <w:marBottom w:val="0"/>
          <w:divBdr>
            <w:top w:val="none" w:sz="0" w:space="0" w:color="auto"/>
            <w:left w:val="none" w:sz="0" w:space="0" w:color="auto"/>
            <w:bottom w:val="none" w:sz="0" w:space="0" w:color="auto"/>
            <w:right w:val="none" w:sz="0" w:space="0" w:color="auto"/>
          </w:divBdr>
        </w:div>
        <w:div w:id="619996401">
          <w:marLeft w:val="0"/>
          <w:marRight w:val="0"/>
          <w:marTop w:val="0"/>
          <w:marBottom w:val="0"/>
          <w:divBdr>
            <w:top w:val="none" w:sz="0" w:space="0" w:color="auto"/>
            <w:left w:val="none" w:sz="0" w:space="0" w:color="auto"/>
            <w:bottom w:val="none" w:sz="0" w:space="0" w:color="auto"/>
            <w:right w:val="none" w:sz="0" w:space="0" w:color="auto"/>
          </w:divBdr>
        </w:div>
        <w:div w:id="624047402">
          <w:marLeft w:val="0"/>
          <w:marRight w:val="0"/>
          <w:marTop w:val="0"/>
          <w:marBottom w:val="0"/>
          <w:divBdr>
            <w:top w:val="none" w:sz="0" w:space="0" w:color="auto"/>
            <w:left w:val="none" w:sz="0" w:space="0" w:color="auto"/>
            <w:bottom w:val="none" w:sz="0" w:space="0" w:color="auto"/>
            <w:right w:val="none" w:sz="0" w:space="0" w:color="auto"/>
          </w:divBdr>
        </w:div>
        <w:div w:id="766538078">
          <w:marLeft w:val="0"/>
          <w:marRight w:val="0"/>
          <w:marTop w:val="0"/>
          <w:marBottom w:val="0"/>
          <w:divBdr>
            <w:top w:val="none" w:sz="0" w:space="0" w:color="auto"/>
            <w:left w:val="none" w:sz="0" w:space="0" w:color="auto"/>
            <w:bottom w:val="none" w:sz="0" w:space="0" w:color="auto"/>
            <w:right w:val="none" w:sz="0" w:space="0" w:color="auto"/>
          </w:divBdr>
        </w:div>
        <w:div w:id="811598998">
          <w:marLeft w:val="0"/>
          <w:marRight w:val="0"/>
          <w:marTop w:val="0"/>
          <w:marBottom w:val="0"/>
          <w:divBdr>
            <w:top w:val="none" w:sz="0" w:space="0" w:color="auto"/>
            <w:left w:val="none" w:sz="0" w:space="0" w:color="auto"/>
            <w:bottom w:val="none" w:sz="0" w:space="0" w:color="auto"/>
            <w:right w:val="none" w:sz="0" w:space="0" w:color="auto"/>
          </w:divBdr>
        </w:div>
        <w:div w:id="1051685422">
          <w:marLeft w:val="0"/>
          <w:marRight w:val="0"/>
          <w:marTop w:val="0"/>
          <w:marBottom w:val="0"/>
          <w:divBdr>
            <w:top w:val="none" w:sz="0" w:space="0" w:color="auto"/>
            <w:left w:val="none" w:sz="0" w:space="0" w:color="auto"/>
            <w:bottom w:val="none" w:sz="0" w:space="0" w:color="auto"/>
            <w:right w:val="none" w:sz="0" w:space="0" w:color="auto"/>
          </w:divBdr>
        </w:div>
        <w:div w:id="1075590469">
          <w:marLeft w:val="0"/>
          <w:marRight w:val="0"/>
          <w:marTop w:val="0"/>
          <w:marBottom w:val="0"/>
          <w:divBdr>
            <w:top w:val="none" w:sz="0" w:space="0" w:color="auto"/>
            <w:left w:val="none" w:sz="0" w:space="0" w:color="auto"/>
            <w:bottom w:val="none" w:sz="0" w:space="0" w:color="auto"/>
            <w:right w:val="none" w:sz="0" w:space="0" w:color="auto"/>
          </w:divBdr>
        </w:div>
        <w:div w:id="1457604386">
          <w:marLeft w:val="0"/>
          <w:marRight w:val="0"/>
          <w:marTop w:val="0"/>
          <w:marBottom w:val="0"/>
          <w:divBdr>
            <w:top w:val="none" w:sz="0" w:space="0" w:color="auto"/>
            <w:left w:val="none" w:sz="0" w:space="0" w:color="auto"/>
            <w:bottom w:val="none" w:sz="0" w:space="0" w:color="auto"/>
            <w:right w:val="none" w:sz="0" w:space="0" w:color="auto"/>
          </w:divBdr>
        </w:div>
        <w:div w:id="1647123379">
          <w:marLeft w:val="0"/>
          <w:marRight w:val="0"/>
          <w:marTop w:val="0"/>
          <w:marBottom w:val="0"/>
          <w:divBdr>
            <w:top w:val="none" w:sz="0" w:space="0" w:color="auto"/>
            <w:left w:val="none" w:sz="0" w:space="0" w:color="auto"/>
            <w:bottom w:val="none" w:sz="0" w:space="0" w:color="auto"/>
            <w:right w:val="none" w:sz="0" w:space="0" w:color="auto"/>
          </w:divBdr>
        </w:div>
        <w:div w:id="1850213159">
          <w:marLeft w:val="0"/>
          <w:marRight w:val="0"/>
          <w:marTop w:val="0"/>
          <w:marBottom w:val="0"/>
          <w:divBdr>
            <w:top w:val="none" w:sz="0" w:space="0" w:color="auto"/>
            <w:left w:val="none" w:sz="0" w:space="0" w:color="auto"/>
            <w:bottom w:val="none" w:sz="0" w:space="0" w:color="auto"/>
            <w:right w:val="none" w:sz="0" w:space="0" w:color="auto"/>
          </w:divBdr>
        </w:div>
        <w:div w:id="1915623043">
          <w:marLeft w:val="0"/>
          <w:marRight w:val="0"/>
          <w:marTop w:val="0"/>
          <w:marBottom w:val="0"/>
          <w:divBdr>
            <w:top w:val="none" w:sz="0" w:space="0" w:color="auto"/>
            <w:left w:val="none" w:sz="0" w:space="0" w:color="auto"/>
            <w:bottom w:val="none" w:sz="0" w:space="0" w:color="auto"/>
            <w:right w:val="none" w:sz="0" w:space="0" w:color="auto"/>
          </w:divBdr>
        </w:div>
        <w:div w:id="2085570793">
          <w:marLeft w:val="0"/>
          <w:marRight w:val="0"/>
          <w:marTop w:val="0"/>
          <w:marBottom w:val="0"/>
          <w:divBdr>
            <w:top w:val="none" w:sz="0" w:space="0" w:color="auto"/>
            <w:left w:val="none" w:sz="0" w:space="0" w:color="auto"/>
            <w:bottom w:val="none" w:sz="0" w:space="0" w:color="auto"/>
            <w:right w:val="none" w:sz="0" w:space="0" w:color="auto"/>
          </w:divBdr>
        </w:div>
        <w:div w:id="2091458647">
          <w:marLeft w:val="0"/>
          <w:marRight w:val="0"/>
          <w:marTop w:val="0"/>
          <w:marBottom w:val="0"/>
          <w:divBdr>
            <w:top w:val="none" w:sz="0" w:space="0" w:color="auto"/>
            <w:left w:val="none" w:sz="0" w:space="0" w:color="auto"/>
            <w:bottom w:val="none" w:sz="0" w:space="0" w:color="auto"/>
            <w:right w:val="none" w:sz="0" w:space="0" w:color="auto"/>
          </w:divBdr>
        </w:div>
        <w:div w:id="2118669351">
          <w:marLeft w:val="0"/>
          <w:marRight w:val="0"/>
          <w:marTop w:val="0"/>
          <w:marBottom w:val="0"/>
          <w:divBdr>
            <w:top w:val="none" w:sz="0" w:space="0" w:color="auto"/>
            <w:left w:val="none" w:sz="0" w:space="0" w:color="auto"/>
            <w:bottom w:val="none" w:sz="0" w:space="0" w:color="auto"/>
            <w:right w:val="none" w:sz="0" w:space="0" w:color="auto"/>
          </w:divBdr>
        </w:div>
      </w:divsChild>
    </w:div>
    <w:div w:id="1037200414">
      <w:bodyDiv w:val="1"/>
      <w:marLeft w:val="0"/>
      <w:marRight w:val="0"/>
      <w:marTop w:val="0"/>
      <w:marBottom w:val="0"/>
      <w:divBdr>
        <w:top w:val="none" w:sz="0" w:space="0" w:color="auto"/>
        <w:left w:val="none" w:sz="0" w:space="0" w:color="auto"/>
        <w:bottom w:val="none" w:sz="0" w:space="0" w:color="auto"/>
        <w:right w:val="none" w:sz="0" w:space="0" w:color="auto"/>
      </w:divBdr>
      <w:divsChild>
        <w:div w:id="114982770">
          <w:marLeft w:val="0"/>
          <w:marRight w:val="0"/>
          <w:marTop w:val="0"/>
          <w:marBottom w:val="0"/>
          <w:divBdr>
            <w:top w:val="none" w:sz="0" w:space="0" w:color="auto"/>
            <w:left w:val="none" w:sz="0" w:space="0" w:color="auto"/>
            <w:bottom w:val="none" w:sz="0" w:space="0" w:color="auto"/>
            <w:right w:val="none" w:sz="0" w:space="0" w:color="auto"/>
          </w:divBdr>
        </w:div>
        <w:div w:id="304360172">
          <w:marLeft w:val="0"/>
          <w:marRight w:val="0"/>
          <w:marTop w:val="0"/>
          <w:marBottom w:val="0"/>
          <w:divBdr>
            <w:top w:val="none" w:sz="0" w:space="0" w:color="auto"/>
            <w:left w:val="none" w:sz="0" w:space="0" w:color="auto"/>
            <w:bottom w:val="none" w:sz="0" w:space="0" w:color="auto"/>
            <w:right w:val="none" w:sz="0" w:space="0" w:color="auto"/>
          </w:divBdr>
        </w:div>
        <w:div w:id="584921215">
          <w:marLeft w:val="0"/>
          <w:marRight w:val="0"/>
          <w:marTop w:val="0"/>
          <w:marBottom w:val="0"/>
          <w:divBdr>
            <w:top w:val="none" w:sz="0" w:space="0" w:color="auto"/>
            <w:left w:val="none" w:sz="0" w:space="0" w:color="auto"/>
            <w:bottom w:val="none" w:sz="0" w:space="0" w:color="auto"/>
            <w:right w:val="none" w:sz="0" w:space="0" w:color="auto"/>
          </w:divBdr>
        </w:div>
        <w:div w:id="1732777209">
          <w:marLeft w:val="0"/>
          <w:marRight w:val="0"/>
          <w:marTop w:val="0"/>
          <w:marBottom w:val="0"/>
          <w:divBdr>
            <w:top w:val="none" w:sz="0" w:space="0" w:color="auto"/>
            <w:left w:val="none" w:sz="0" w:space="0" w:color="auto"/>
            <w:bottom w:val="none" w:sz="0" w:space="0" w:color="auto"/>
            <w:right w:val="none" w:sz="0" w:space="0" w:color="auto"/>
          </w:divBdr>
        </w:div>
      </w:divsChild>
    </w:div>
    <w:div w:id="1157305356">
      <w:marLeft w:val="0"/>
      <w:marRight w:val="0"/>
      <w:marTop w:val="0"/>
      <w:marBottom w:val="0"/>
      <w:divBdr>
        <w:top w:val="none" w:sz="0" w:space="0" w:color="auto"/>
        <w:left w:val="none" w:sz="0" w:space="0" w:color="auto"/>
        <w:bottom w:val="none" w:sz="0" w:space="0" w:color="auto"/>
        <w:right w:val="none" w:sz="0" w:space="0" w:color="auto"/>
      </w:divBdr>
    </w:div>
    <w:div w:id="1157305357">
      <w:marLeft w:val="0"/>
      <w:marRight w:val="0"/>
      <w:marTop w:val="0"/>
      <w:marBottom w:val="0"/>
      <w:divBdr>
        <w:top w:val="none" w:sz="0" w:space="0" w:color="auto"/>
        <w:left w:val="none" w:sz="0" w:space="0" w:color="auto"/>
        <w:bottom w:val="none" w:sz="0" w:space="0" w:color="auto"/>
        <w:right w:val="none" w:sz="0" w:space="0" w:color="auto"/>
      </w:divBdr>
    </w:div>
    <w:div w:id="1157305358">
      <w:marLeft w:val="0"/>
      <w:marRight w:val="0"/>
      <w:marTop w:val="0"/>
      <w:marBottom w:val="0"/>
      <w:divBdr>
        <w:top w:val="none" w:sz="0" w:space="0" w:color="auto"/>
        <w:left w:val="none" w:sz="0" w:space="0" w:color="auto"/>
        <w:bottom w:val="none" w:sz="0" w:space="0" w:color="auto"/>
        <w:right w:val="none" w:sz="0" w:space="0" w:color="auto"/>
      </w:divBdr>
    </w:div>
    <w:div w:id="1157305359">
      <w:marLeft w:val="0"/>
      <w:marRight w:val="0"/>
      <w:marTop w:val="0"/>
      <w:marBottom w:val="0"/>
      <w:divBdr>
        <w:top w:val="none" w:sz="0" w:space="0" w:color="auto"/>
        <w:left w:val="none" w:sz="0" w:space="0" w:color="auto"/>
        <w:bottom w:val="none" w:sz="0" w:space="0" w:color="auto"/>
        <w:right w:val="none" w:sz="0" w:space="0" w:color="auto"/>
      </w:divBdr>
    </w:div>
    <w:div w:id="1397783683">
      <w:bodyDiv w:val="1"/>
      <w:marLeft w:val="0"/>
      <w:marRight w:val="0"/>
      <w:marTop w:val="0"/>
      <w:marBottom w:val="0"/>
      <w:divBdr>
        <w:top w:val="none" w:sz="0" w:space="0" w:color="auto"/>
        <w:left w:val="none" w:sz="0" w:space="0" w:color="auto"/>
        <w:bottom w:val="none" w:sz="0" w:space="0" w:color="auto"/>
        <w:right w:val="none" w:sz="0" w:space="0" w:color="auto"/>
      </w:divBdr>
      <w:divsChild>
        <w:div w:id="170220445">
          <w:marLeft w:val="0"/>
          <w:marRight w:val="0"/>
          <w:marTop w:val="0"/>
          <w:marBottom w:val="0"/>
          <w:divBdr>
            <w:top w:val="none" w:sz="0" w:space="0" w:color="auto"/>
            <w:left w:val="none" w:sz="0" w:space="0" w:color="auto"/>
            <w:bottom w:val="none" w:sz="0" w:space="0" w:color="auto"/>
            <w:right w:val="none" w:sz="0" w:space="0" w:color="auto"/>
          </w:divBdr>
        </w:div>
        <w:div w:id="322899242">
          <w:marLeft w:val="0"/>
          <w:marRight w:val="0"/>
          <w:marTop w:val="0"/>
          <w:marBottom w:val="0"/>
          <w:divBdr>
            <w:top w:val="none" w:sz="0" w:space="0" w:color="auto"/>
            <w:left w:val="none" w:sz="0" w:space="0" w:color="auto"/>
            <w:bottom w:val="none" w:sz="0" w:space="0" w:color="auto"/>
            <w:right w:val="none" w:sz="0" w:space="0" w:color="auto"/>
          </w:divBdr>
        </w:div>
        <w:div w:id="323315063">
          <w:marLeft w:val="0"/>
          <w:marRight w:val="0"/>
          <w:marTop w:val="0"/>
          <w:marBottom w:val="0"/>
          <w:divBdr>
            <w:top w:val="none" w:sz="0" w:space="0" w:color="auto"/>
            <w:left w:val="none" w:sz="0" w:space="0" w:color="auto"/>
            <w:bottom w:val="none" w:sz="0" w:space="0" w:color="auto"/>
            <w:right w:val="none" w:sz="0" w:space="0" w:color="auto"/>
          </w:divBdr>
        </w:div>
        <w:div w:id="470445149">
          <w:marLeft w:val="0"/>
          <w:marRight w:val="0"/>
          <w:marTop w:val="0"/>
          <w:marBottom w:val="0"/>
          <w:divBdr>
            <w:top w:val="none" w:sz="0" w:space="0" w:color="auto"/>
            <w:left w:val="none" w:sz="0" w:space="0" w:color="auto"/>
            <w:bottom w:val="none" w:sz="0" w:space="0" w:color="auto"/>
            <w:right w:val="none" w:sz="0" w:space="0" w:color="auto"/>
          </w:divBdr>
        </w:div>
        <w:div w:id="545140210">
          <w:marLeft w:val="0"/>
          <w:marRight w:val="0"/>
          <w:marTop w:val="0"/>
          <w:marBottom w:val="0"/>
          <w:divBdr>
            <w:top w:val="none" w:sz="0" w:space="0" w:color="auto"/>
            <w:left w:val="none" w:sz="0" w:space="0" w:color="auto"/>
            <w:bottom w:val="none" w:sz="0" w:space="0" w:color="auto"/>
            <w:right w:val="none" w:sz="0" w:space="0" w:color="auto"/>
          </w:divBdr>
        </w:div>
        <w:div w:id="604002609">
          <w:marLeft w:val="0"/>
          <w:marRight w:val="0"/>
          <w:marTop w:val="0"/>
          <w:marBottom w:val="0"/>
          <w:divBdr>
            <w:top w:val="none" w:sz="0" w:space="0" w:color="auto"/>
            <w:left w:val="none" w:sz="0" w:space="0" w:color="auto"/>
            <w:bottom w:val="none" w:sz="0" w:space="0" w:color="auto"/>
            <w:right w:val="none" w:sz="0" w:space="0" w:color="auto"/>
          </w:divBdr>
        </w:div>
        <w:div w:id="671416939">
          <w:marLeft w:val="0"/>
          <w:marRight w:val="0"/>
          <w:marTop w:val="0"/>
          <w:marBottom w:val="0"/>
          <w:divBdr>
            <w:top w:val="none" w:sz="0" w:space="0" w:color="auto"/>
            <w:left w:val="none" w:sz="0" w:space="0" w:color="auto"/>
            <w:bottom w:val="none" w:sz="0" w:space="0" w:color="auto"/>
            <w:right w:val="none" w:sz="0" w:space="0" w:color="auto"/>
          </w:divBdr>
        </w:div>
        <w:div w:id="674383646">
          <w:marLeft w:val="0"/>
          <w:marRight w:val="0"/>
          <w:marTop w:val="0"/>
          <w:marBottom w:val="0"/>
          <w:divBdr>
            <w:top w:val="none" w:sz="0" w:space="0" w:color="auto"/>
            <w:left w:val="none" w:sz="0" w:space="0" w:color="auto"/>
            <w:bottom w:val="none" w:sz="0" w:space="0" w:color="auto"/>
            <w:right w:val="none" w:sz="0" w:space="0" w:color="auto"/>
          </w:divBdr>
        </w:div>
        <w:div w:id="756948942">
          <w:marLeft w:val="0"/>
          <w:marRight w:val="0"/>
          <w:marTop w:val="0"/>
          <w:marBottom w:val="0"/>
          <w:divBdr>
            <w:top w:val="none" w:sz="0" w:space="0" w:color="auto"/>
            <w:left w:val="none" w:sz="0" w:space="0" w:color="auto"/>
            <w:bottom w:val="none" w:sz="0" w:space="0" w:color="auto"/>
            <w:right w:val="none" w:sz="0" w:space="0" w:color="auto"/>
          </w:divBdr>
        </w:div>
        <w:div w:id="773012712">
          <w:marLeft w:val="0"/>
          <w:marRight w:val="0"/>
          <w:marTop w:val="0"/>
          <w:marBottom w:val="0"/>
          <w:divBdr>
            <w:top w:val="none" w:sz="0" w:space="0" w:color="auto"/>
            <w:left w:val="none" w:sz="0" w:space="0" w:color="auto"/>
            <w:bottom w:val="none" w:sz="0" w:space="0" w:color="auto"/>
            <w:right w:val="none" w:sz="0" w:space="0" w:color="auto"/>
          </w:divBdr>
        </w:div>
        <w:div w:id="909315507">
          <w:marLeft w:val="0"/>
          <w:marRight w:val="0"/>
          <w:marTop w:val="0"/>
          <w:marBottom w:val="0"/>
          <w:divBdr>
            <w:top w:val="none" w:sz="0" w:space="0" w:color="auto"/>
            <w:left w:val="none" w:sz="0" w:space="0" w:color="auto"/>
            <w:bottom w:val="none" w:sz="0" w:space="0" w:color="auto"/>
            <w:right w:val="none" w:sz="0" w:space="0" w:color="auto"/>
          </w:divBdr>
        </w:div>
        <w:div w:id="1008750783">
          <w:marLeft w:val="0"/>
          <w:marRight w:val="0"/>
          <w:marTop w:val="0"/>
          <w:marBottom w:val="0"/>
          <w:divBdr>
            <w:top w:val="none" w:sz="0" w:space="0" w:color="auto"/>
            <w:left w:val="none" w:sz="0" w:space="0" w:color="auto"/>
            <w:bottom w:val="none" w:sz="0" w:space="0" w:color="auto"/>
            <w:right w:val="none" w:sz="0" w:space="0" w:color="auto"/>
          </w:divBdr>
        </w:div>
        <w:div w:id="1026250989">
          <w:marLeft w:val="0"/>
          <w:marRight w:val="0"/>
          <w:marTop w:val="0"/>
          <w:marBottom w:val="0"/>
          <w:divBdr>
            <w:top w:val="none" w:sz="0" w:space="0" w:color="auto"/>
            <w:left w:val="none" w:sz="0" w:space="0" w:color="auto"/>
            <w:bottom w:val="none" w:sz="0" w:space="0" w:color="auto"/>
            <w:right w:val="none" w:sz="0" w:space="0" w:color="auto"/>
          </w:divBdr>
        </w:div>
        <w:div w:id="1224098549">
          <w:marLeft w:val="0"/>
          <w:marRight w:val="0"/>
          <w:marTop w:val="0"/>
          <w:marBottom w:val="0"/>
          <w:divBdr>
            <w:top w:val="none" w:sz="0" w:space="0" w:color="auto"/>
            <w:left w:val="none" w:sz="0" w:space="0" w:color="auto"/>
            <w:bottom w:val="none" w:sz="0" w:space="0" w:color="auto"/>
            <w:right w:val="none" w:sz="0" w:space="0" w:color="auto"/>
          </w:divBdr>
        </w:div>
        <w:div w:id="1228420725">
          <w:marLeft w:val="0"/>
          <w:marRight w:val="0"/>
          <w:marTop w:val="0"/>
          <w:marBottom w:val="0"/>
          <w:divBdr>
            <w:top w:val="none" w:sz="0" w:space="0" w:color="auto"/>
            <w:left w:val="none" w:sz="0" w:space="0" w:color="auto"/>
            <w:bottom w:val="none" w:sz="0" w:space="0" w:color="auto"/>
            <w:right w:val="none" w:sz="0" w:space="0" w:color="auto"/>
          </w:divBdr>
        </w:div>
        <w:div w:id="1310087502">
          <w:marLeft w:val="0"/>
          <w:marRight w:val="0"/>
          <w:marTop w:val="0"/>
          <w:marBottom w:val="0"/>
          <w:divBdr>
            <w:top w:val="none" w:sz="0" w:space="0" w:color="auto"/>
            <w:left w:val="none" w:sz="0" w:space="0" w:color="auto"/>
            <w:bottom w:val="none" w:sz="0" w:space="0" w:color="auto"/>
            <w:right w:val="none" w:sz="0" w:space="0" w:color="auto"/>
          </w:divBdr>
        </w:div>
        <w:div w:id="1518076479">
          <w:marLeft w:val="0"/>
          <w:marRight w:val="0"/>
          <w:marTop w:val="0"/>
          <w:marBottom w:val="0"/>
          <w:divBdr>
            <w:top w:val="none" w:sz="0" w:space="0" w:color="auto"/>
            <w:left w:val="none" w:sz="0" w:space="0" w:color="auto"/>
            <w:bottom w:val="none" w:sz="0" w:space="0" w:color="auto"/>
            <w:right w:val="none" w:sz="0" w:space="0" w:color="auto"/>
          </w:divBdr>
        </w:div>
        <w:div w:id="2040469403">
          <w:marLeft w:val="0"/>
          <w:marRight w:val="0"/>
          <w:marTop w:val="0"/>
          <w:marBottom w:val="0"/>
          <w:divBdr>
            <w:top w:val="none" w:sz="0" w:space="0" w:color="auto"/>
            <w:left w:val="none" w:sz="0" w:space="0" w:color="auto"/>
            <w:bottom w:val="none" w:sz="0" w:space="0" w:color="auto"/>
            <w:right w:val="none" w:sz="0" w:space="0" w:color="auto"/>
          </w:divBdr>
        </w:div>
      </w:divsChild>
    </w:div>
    <w:div w:id="1448501055">
      <w:bodyDiv w:val="1"/>
      <w:marLeft w:val="0"/>
      <w:marRight w:val="0"/>
      <w:marTop w:val="0"/>
      <w:marBottom w:val="0"/>
      <w:divBdr>
        <w:top w:val="none" w:sz="0" w:space="0" w:color="auto"/>
        <w:left w:val="none" w:sz="0" w:space="0" w:color="auto"/>
        <w:bottom w:val="none" w:sz="0" w:space="0" w:color="auto"/>
        <w:right w:val="none" w:sz="0" w:space="0" w:color="auto"/>
      </w:divBdr>
      <w:divsChild>
        <w:div w:id="1591305032">
          <w:marLeft w:val="0"/>
          <w:marRight w:val="0"/>
          <w:marTop w:val="0"/>
          <w:marBottom w:val="0"/>
          <w:divBdr>
            <w:top w:val="none" w:sz="0" w:space="0" w:color="auto"/>
            <w:left w:val="none" w:sz="0" w:space="0" w:color="auto"/>
            <w:bottom w:val="none" w:sz="0" w:space="0" w:color="auto"/>
            <w:right w:val="none" w:sz="0" w:space="0" w:color="auto"/>
          </w:divBdr>
        </w:div>
        <w:div w:id="1754933053">
          <w:marLeft w:val="0"/>
          <w:marRight w:val="0"/>
          <w:marTop w:val="0"/>
          <w:marBottom w:val="0"/>
          <w:divBdr>
            <w:top w:val="none" w:sz="0" w:space="0" w:color="auto"/>
            <w:left w:val="none" w:sz="0" w:space="0" w:color="auto"/>
            <w:bottom w:val="none" w:sz="0" w:space="0" w:color="auto"/>
            <w:right w:val="none" w:sz="0" w:space="0" w:color="auto"/>
          </w:divBdr>
        </w:div>
        <w:div w:id="1765953674">
          <w:marLeft w:val="0"/>
          <w:marRight w:val="0"/>
          <w:marTop w:val="0"/>
          <w:marBottom w:val="0"/>
          <w:divBdr>
            <w:top w:val="none" w:sz="0" w:space="0" w:color="auto"/>
            <w:left w:val="none" w:sz="0" w:space="0" w:color="auto"/>
            <w:bottom w:val="none" w:sz="0" w:space="0" w:color="auto"/>
            <w:right w:val="none" w:sz="0" w:space="0" w:color="auto"/>
          </w:divBdr>
        </w:div>
        <w:div w:id="1923950881">
          <w:marLeft w:val="0"/>
          <w:marRight w:val="0"/>
          <w:marTop w:val="0"/>
          <w:marBottom w:val="0"/>
          <w:divBdr>
            <w:top w:val="none" w:sz="0" w:space="0" w:color="auto"/>
            <w:left w:val="none" w:sz="0" w:space="0" w:color="auto"/>
            <w:bottom w:val="none" w:sz="0" w:space="0" w:color="auto"/>
            <w:right w:val="none" w:sz="0" w:space="0" w:color="auto"/>
          </w:divBdr>
        </w:div>
      </w:divsChild>
    </w:div>
    <w:div w:id="1490513689">
      <w:bodyDiv w:val="1"/>
      <w:marLeft w:val="0"/>
      <w:marRight w:val="0"/>
      <w:marTop w:val="0"/>
      <w:marBottom w:val="0"/>
      <w:divBdr>
        <w:top w:val="none" w:sz="0" w:space="0" w:color="auto"/>
        <w:left w:val="none" w:sz="0" w:space="0" w:color="auto"/>
        <w:bottom w:val="none" w:sz="0" w:space="0" w:color="auto"/>
        <w:right w:val="none" w:sz="0" w:space="0" w:color="auto"/>
      </w:divBdr>
      <w:divsChild>
        <w:div w:id="537350765">
          <w:marLeft w:val="0"/>
          <w:marRight w:val="0"/>
          <w:marTop w:val="0"/>
          <w:marBottom w:val="0"/>
          <w:divBdr>
            <w:top w:val="none" w:sz="0" w:space="0" w:color="auto"/>
            <w:left w:val="none" w:sz="0" w:space="0" w:color="auto"/>
            <w:bottom w:val="none" w:sz="0" w:space="0" w:color="auto"/>
            <w:right w:val="none" w:sz="0" w:space="0" w:color="auto"/>
          </w:divBdr>
        </w:div>
        <w:div w:id="592931196">
          <w:marLeft w:val="0"/>
          <w:marRight w:val="0"/>
          <w:marTop w:val="0"/>
          <w:marBottom w:val="0"/>
          <w:divBdr>
            <w:top w:val="none" w:sz="0" w:space="0" w:color="auto"/>
            <w:left w:val="none" w:sz="0" w:space="0" w:color="auto"/>
            <w:bottom w:val="none" w:sz="0" w:space="0" w:color="auto"/>
            <w:right w:val="none" w:sz="0" w:space="0" w:color="auto"/>
          </w:divBdr>
        </w:div>
        <w:div w:id="627053098">
          <w:marLeft w:val="0"/>
          <w:marRight w:val="0"/>
          <w:marTop w:val="0"/>
          <w:marBottom w:val="0"/>
          <w:divBdr>
            <w:top w:val="none" w:sz="0" w:space="0" w:color="auto"/>
            <w:left w:val="none" w:sz="0" w:space="0" w:color="auto"/>
            <w:bottom w:val="none" w:sz="0" w:space="0" w:color="auto"/>
            <w:right w:val="none" w:sz="0" w:space="0" w:color="auto"/>
          </w:divBdr>
        </w:div>
        <w:div w:id="784273768">
          <w:marLeft w:val="0"/>
          <w:marRight w:val="0"/>
          <w:marTop w:val="0"/>
          <w:marBottom w:val="0"/>
          <w:divBdr>
            <w:top w:val="none" w:sz="0" w:space="0" w:color="auto"/>
            <w:left w:val="none" w:sz="0" w:space="0" w:color="auto"/>
            <w:bottom w:val="none" w:sz="0" w:space="0" w:color="auto"/>
            <w:right w:val="none" w:sz="0" w:space="0" w:color="auto"/>
          </w:divBdr>
        </w:div>
        <w:div w:id="1120610168">
          <w:marLeft w:val="0"/>
          <w:marRight w:val="0"/>
          <w:marTop w:val="0"/>
          <w:marBottom w:val="0"/>
          <w:divBdr>
            <w:top w:val="none" w:sz="0" w:space="0" w:color="auto"/>
            <w:left w:val="none" w:sz="0" w:space="0" w:color="auto"/>
            <w:bottom w:val="none" w:sz="0" w:space="0" w:color="auto"/>
            <w:right w:val="none" w:sz="0" w:space="0" w:color="auto"/>
          </w:divBdr>
        </w:div>
        <w:div w:id="1281914914">
          <w:marLeft w:val="0"/>
          <w:marRight w:val="0"/>
          <w:marTop w:val="0"/>
          <w:marBottom w:val="0"/>
          <w:divBdr>
            <w:top w:val="none" w:sz="0" w:space="0" w:color="auto"/>
            <w:left w:val="none" w:sz="0" w:space="0" w:color="auto"/>
            <w:bottom w:val="none" w:sz="0" w:space="0" w:color="auto"/>
            <w:right w:val="none" w:sz="0" w:space="0" w:color="auto"/>
          </w:divBdr>
        </w:div>
        <w:div w:id="1353335570">
          <w:marLeft w:val="0"/>
          <w:marRight w:val="0"/>
          <w:marTop w:val="0"/>
          <w:marBottom w:val="0"/>
          <w:divBdr>
            <w:top w:val="none" w:sz="0" w:space="0" w:color="auto"/>
            <w:left w:val="none" w:sz="0" w:space="0" w:color="auto"/>
            <w:bottom w:val="none" w:sz="0" w:space="0" w:color="auto"/>
            <w:right w:val="none" w:sz="0" w:space="0" w:color="auto"/>
          </w:divBdr>
        </w:div>
        <w:div w:id="1532036758">
          <w:marLeft w:val="0"/>
          <w:marRight w:val="0"/>
          <w:marTop w:val="0"/>
          <w:marBottom w:val="0"/>
          <w:divBdr>
            <w:top w:val="none" w:sz="0" w:space="0" w:color="auto"/>
            <w:left w:val="none" w:sz="0" w:space="0" w:color="auto"/>
            <w:bottom w:val="none" w:sz="0" w:space="0" w:color="auto"/>
            <w:right w:val="none" w:sz="0" w:space="0" w:color="auto"/>
          </w:divBdr>
        </w:div>
        <w:div w:id="1571649320">
          <w:marLeft w:val="0"/>
          <w:marRight w:val="0"/>
          <w:marTop w:val="0"/>
          <w:marBottom w:val="0"/>
          <w:divBdr>
            <w:top w:val="none" w:sz="0" w:space="0" w:color="auto"/>
            <w:left w:val="none" w:sz="0" w:space="0" w:color="auto"/>
            <w:bottom w:val="none" w:sz="0" w:space="0" w:color="auto"/>
            <w:right w:val="none" w:sz="0" w:space="0" w:color="auto"/>
          </w:divBdr>
        </w:div>
        <w:div w:id="1589075409">
          <w:marLeft w:val="0"/>
          <w:marRight w:val="0"/>
          <w:marTop w:val="0"/>
          <w:marBottom w:val="0"/>
          <w:divBdr>
            <w:top w:val="none" w:sz="0" w:space="0" w:color="auto"/>
            <w:left w:val="none" w:sz="0" w:space="0" w:color="auto"/>
            <w:bottom w:val="none" w:sz="0" w:space="0" w:color="auto"/>
            <w:right w:val="none" w:sz="0" w:space="0" w:color="auto"/>
          </w:divBdr>
        </w:div>
      </w:divsChild>
    </w:div>
    <w:div w:id="153106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dviserinfo.se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 2016]</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FA77016A84934790F9A0B74FBE0CD7" ma:contentTypeVersion="18" ma:contentTypeDescription="Create a new document." ma:contentTypeScope="" ma:versionID="841aa6c9351091eec85b21ec04b886d9">
  <xsd:schema xmlns:xsd="http://www.w3.org/2001/XMLSchema" xmlns:xs="http://www.w3.org/2001/XMLSchema" xmlns:p="http://schemas.microsoft.com/office/2006/metadata/properties" xmlns:ns2="916d15a6-0c98-487e-925a-a60e7b41160c" xmlns:ns3="45e51955-afe5-42ec-ab2f-ea8bffc2697c" targetNamespace="http://schemas.microsoft.com/office/2006/metadata/properties" ma:root="true" ma:fieldsID="63066c5a8a1fca3992997efb7aa28d50" ns2:_="" ns3:_="">
    <xsd:import namespace="916d15a6-0c98-487e-925a-a60e7b41160c"/>
    <xsd:import namespace="45e51955-afe5-42ec-ab2f-ea8bffc269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d15a6-0c98-487e-925a-a60e7b411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6309c22-e355-4720-92cb-ccbcb45221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51955-afe5-42ec-ab2f-ea8bffc2697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e4c0ce-b0c5-4131-b4b5-c64f3075951a}" ma:internalName="TaxCatchAll" ma:showField="CatchAllData" ma:web="45e51955-afe5-42ec-ab2f-ea8bffc269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16d15a6-0c98-487e-925a-a60e7b41160c">
      <Terms xmlns="http://schemas.microsoft.com/office/infopath/2007/PartnerControls"/>
    </lcf76f155ced4ddcb4097134ff3c332f>
    <TaxCatchAll xmlns="45e51955-afe5-42ec-ab2f-ea8bffc2697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15F2D9-5C0B-4CF0-89A1-FF839275F699}"/>
</file>

<file path=customXml/itemProps3.xml><?xml version="1.0" encoding="utf-8"?>
<ds:datastoreItem xmlns:ds="http://schemas.openxmlformats.org/officeDocument/2006/customXml" ds:itemID="{6129FA1B-9155-4E00-BC57-A8EF579E8904}">
  <ds:schemaRefs>
    <ds:schemaRef ds:uri="http://schemas.microsoft.com/sharepoint/v3/contenttype/forms"/>
  </ds:schemaRefs>
</ds:datastoreItem>
</file>

<file path=customXml/itemProps4.xml><?xml version="1.0" encoding="utf-8"?>
<ds:datastoreItem xmlns:ds="http://schemas.openxmlformats.org/officeDocument/2006/customXml" ds:itemID="{85F46B74-D06C-42B8-9967-0FDEF7D0BD25}">
  <ds:schemaRefs>
    <ds:schemaRef ds:uri="http://schemas.openxmlformats.org/officeDocument/2006/bibliography"/>
  </ds:schemaRefs>
</ds:datastoreItem>
</file>

<file path=customXml/itemProps5.xml><?xml version="1.0" encoding="utf-8"?>
<ds:datastoreItem xmlns:ds="http://schemas.openxmlformats.org/officeDocument/2006/customXml" ds:itemID="{1EA3E655-8AD4-4BA8-9C25-D6FE444CA83D}">
  <ds:schemaRefs>
    <ds:schemaRef ds:uri="http://schemas.microsoft.com/office/2006/metadata/properties"/>
    <ds:schemaRef ds:uri="http://schemas.microsoft.com/office/infopath/2007/PartnerControls"/>
    <ds:schemaRef ds:uri="916d15a6-0c98-487e-925a-a60e7b41160c"/>
    <ds:schemaRef ds:uri="45e51955-afe5-42ec-ab2f-ea8bffc269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4672</Words>
  <Characters>26636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2026-03-22T15:21:00Z</dcterms:created>
  <dcterms:modified xsi:type="dcterms:W3CDTF">2026-03-22T15:22:00Z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0x01010054FA77016A84934790F9A0B74FBE0CD7</vt:lpwstr>
  </property>
  <property fmtid="{D5CDD505-2E9C-101B-9397-08002B2CF9AE}" pid="3" name="Order">
    <vt:r8>9445800</vt:r8>
  </property>
  <property fmtid="{D5CDD505-2E9C-101B-9397-08002B2CF9AE}" pid="4" name="MediaServiceImageTags">
    <vt:lpwstr/>
  </property>
</Properties>
</file>